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237B0" w14:textId="77777777" w:rsidR="005F6C57" w:rsidRPr="00867CC0" w:rsidRDefault="005F6C57" w:rsidP="005F6C5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OSEM</w:t>
      </w:r>
      <w:r w:rsidRPr="00867CC0">
        <w:rPr>
          <w:rFonts w:ascii="Times New Roman" w:hAnsi="Times New Roman"/>
          <w:b/>
          <w:sz w:val="28"/>
          <w:szCs w:val="28"/>
          <w:u w:val="single"/>
        </w:rPr>
        <w:t xml:space="preserve"> systémových zmien v odbore zubné lekárstvo na roky 2021 - 2023</w:t>
      </w:r>
    </w:p>
    <w:p w14:paraId="6C8F3479" w14:textId="77777777" w:rsidR="005F6C57" w:rsidRPr="00740050" w:rsidRDefault="005F6C57" w:rsidP="005F6C57">
      <w:pPr>
        <w:pStyle w:val="Odsekzoznamu"/>
        <w:spacing w:after="200" w:line="276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Slovenská komora zubných lekárov už niekoľko rokov pracuje na zmenách v zubnej praxi, aby naplnila Víziu 2030 Svetovej federácie zubných lekárov „Ústne zdravie pre všetkých:</w:t>
      </w:r>
    </w:p>
    <w:p w14:paraId="4CDD087B" w14:textId="77777777" w:rsidR="005F6C57" w:rsidRPr="00740050" w:rsidRDefault="005F6C57" w:rsidP="005F6C5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740050">
        <w:rPr>
          <w:rFonts w:ascii="Times New Roman" w:hAnsi="Times New Roman"/>
          <w:color w:val="333333"/>
          <w:sz w:val="24"/>
          <w:szCs w:val="24"/>
        </w:rPr>
        <w:t>Ochorenia ústnej dutiny, ako sú zubný kaz, ochorenie ďasien, strata zubov a rakovina ústnej dutiny, sú najrozšírenejšími neprenosnými chorobami na svete - postihujú 3,5 miliárd ľudí - a majú závažné a významné zdravotné, spoločenské a ekonomické dopady.</w:t>
      </w:r>
      <w:r w:rsidRPr="00740050">
        <w:rPr>
          <w:rFonts w:ascii="Times New Roman" w:hAnsi="Times New Roman"/>
          <w:color w:val="333333"/>
          <w:sz w:val="24"/>
          <w:szCs w:val="24"/>
        </w:rPr>
        <w:br/>
        <w:t> </w:t>
      </w:r>
    </w:p>
    <w:p w14:paraId="569B40B5" w14:textId="77777777" w:rsidR="005F6C57" w:rsidRPr="00740050" w:rsidRDefault="005F6C57" w:rsidP="005F6C57">
      <w:pPr>
        <w:numPr>
          <w:ilvl w:val="0"/>
          <w:numId w:val="4"/>
        </w:numPr>
        <w:shd w:val="clear" w:color="auto" w:fill="FFFFFF"/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hAnsi="Times New Roman"/>
          <w:color w:val="333333"/>
          <w:sz w:val="24"/>
          <w:szCs w:val="24"/>
        </w:rPr>
      </w:pPr>
      <w:r w:rsidRPr="00740050">
        <w:rPr>
          <w:rFonts w:ascii="Times New Roman" w:hAnsi="Times New Roman"/>
          <w:color w:val="333333"/>
          <w:sz w:val="24"/>
          <w:szCs w:val="24"/>
        </w:rPr>
        <w:t>Odborníci v oblasti ústneho zdravia sa musia aktívne zapájať do všetkých snáh o zlepšenie zdravia pre všetkých tak, aby boli účinné preventívne opatrenia u celej populácie a aby sa osobám v núdzi poskytovala kvalitná zdravotná starostlivosť.</w:t>
      </w:r>
    </w:p>
    <w:p w14:paraId="1D0E3A6B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5E3EC78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K dosiahnutiu vízie FDI navrhuje SKZL konkrétne zmeny v zubnej praxi na Slovensku, na ktorých intenzívne pracuje:</w:t>
      </w:r>
    </w:p>
    <w:p w14:paraId="53F38A04" w14:textId="77777777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Vzdelávanie zubných lekárov – získanie praxe</w:t>
      </w:r>
    </w:p>
    <w:p w14:paraId="41028DCD" w14:textId="77777777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Postgraduálne vzdelávanie – certifikačné činnosti</w:t>
      </w:r>
    </w:p>
    <w:p w14:paraId="1A06BCDA" w14:textId="77777777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Legislatívne upraviť kompetencie komory</w:t>
      </w:r>
    </w:p>
    <w:p w14:paraId="0F87C6B3" w14:textId="77777777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Odborný garant zubného lekárstva</w:t>
      </w:r>
    </w:p>
    <w:p w14:paraId="66DE69C9" w14:textId="4E01C350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Centrum akútnej zub</w:t>
      </w:r>
      <w:r w:rsidR="00740050">
        <w:rPr>
          <w:rFonts w:ascii="Times New Roman" w:hAnsi="Times New Roman"/>
          <w:color w:val="000000"/>
          <w:sz w:val="24"/>
          <w:szCs w:val="24"/>
        </w:rPr>
        <w:t>n</w:t>
      </w:r>
      <w:r w:rsidRPr="00740050">
        <w:rPr>
          <w:rFonts w:ascii="Times New Roman" w:hAnsi="Times New Roman"/>
          <w:color w:val="000000"/>
          <w:sz w:val="24"/>
          <w:szCs w:val="24"/>
        </w:rPr>
        <w:t xml:space="preserve">o-lekárskej starostlivosti </w:t>
      </w:r>
    </w:p>
    <w:p w14:paraId="7D8D3D06" w14:textId="77777777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Dentálna mapa (optimalizácia siete PZS)</w:t>
      </w:r>
    </w:p>
    <w:p w14:paraId="2E6B1CCC" w14:textId="7614DBDC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050">
        <w:rPr>
          <w:rFonts w:ascii="Times New Roman" w:hAnsi="Times New Roman"/>
          <w:color w:val="000000"/>
          <w:sz w:val="24"/>
          <w:szCs w:val="24"/>
        </w:rPr>
        <w:t>Intersektorálne</w:t>
      </w:r>
      <w:proofErr w:type="spellEnd"/>
      <w:r w:rsidRPr="00740050">
        <w:rPr>
          <w:rFonts w:ascii="Times New Roman" w:hAnsi="Times New Roman"/>
          <w:color w:val="000000"/>
          <w:sz w:val="24"/>
          <w:szCs w:val="24"/>
        </w:rPr>
        <w:t xml:space="preserve"> členenie finančných zdrojov</w:t>
      </w:r>
      <w:r w:rsidR="00311A5B" w:rsidRPr="00740050">
        <w:rPr>
          <w:rFonts w:ascii="Times New Roman" w:hAnsi="Times New Roman"/>
          <w:color w:val="000000"/>
          <w:sz w:val="24"/>
          <w:szCs w:val="24"/>
        </w:rPr>
        <w:t>/Programové plánovanie</w:t>
      </w:r>
    </w:p>
    <w:p w14:paraId="5E3C7D46" w14:textId="77777777" w:rsidR="005F6C57" w:rsidRPr="00740050" w:rsidRDefault="005F6C57" w:rsidP="005F6C57">
      <w:pPr>
        <w:pStyle w:val="Odsekzoznamu"/>
        <w:numPr>
          <w:ilvl w:val="0"/>
          <w:numId w:val="5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Preventívne programy  </w:t>
      </w:r>
    </w:p>
    <w:p w14:paraId="519EC4FD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F80097" w14:textId="688893E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 xml:space="preserve">K realizácii týchto krokov je nevyhnutná súčinnosť s Ministerstvom zdravotníctva SR a ďalšími subjektami </w:t>
      </w:r>
      <w:r w:rsidR="00740050">
        <w:rPr>
          <w:rFonts w:ascii="Times New Roman" w:hAnsi="Times New Roman"/>
          <w:b/>
          <w:bCs/>
          <w:color w:val="000000"/>
          <w:sz w:val="24"/>
          <w:szCs w:val="24"/>
        </w:rPr>
        <w:t xml:space="preserve">výkonnej </w:t>
      </w: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moci.</w:t>
      </w:r>
    </w:p>
    <w:p w14:paraId="0F3B832A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923A1B8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Krátke predstavenie konkrétnych krokov:</w:t>
      </w:r>
    </w:p>
    <w:p w14:paraId="67000A46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971825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Vzdelávanie zubných lekárov – získanie praxe</w:t>
      </w:r>
    </w:p>
    <w:p w14:paraId="4A85E875" w14:textId="77777777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Šiesty ročník VŠ štúdia - rozšírená praktická výučba (klinické pracoviská/externé pracoviská)</w:t>
      </w:r>
    </w:p>
    <w:p w14:paraId="0E33A002" w14:textId="12D0C806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Po ukončení VŠ štúdia – prax na akreditovaných pracoviskách (zubní lekári neabsolvujú atestácie)</w:t>
      </w:r>
    </w:p>
    <w:p w14:paraId="6D8E157C" w14:textId="567AA819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Kontinuálne vzdelávanie pre absolventov</w:t>
      </w:r>
      <w:r w:rsidR="008635EE" w:rsidRPr="007400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40050">
        <w:rPr>
          <w:rFonts w:ascii="Times New Roman" w:hAnsi="Times New Roman"/>
          <w:color w:val="000000"/>
          <w:sz w:val="24"/>
          <w:szCs w:val="24"/>
        </w:rPr>
        <w:t xml:space="preserve">– stanoviť rozsah a obsah vzdelávania </w:t>
      </w:r>
    </w:p>
    <w:p w14:paraId="7EDB2F0D" w14:textId="77777777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Fakulta zubného lekárstva</w:t>
      </w:r>
    </w:p>
    <w:p w14:paraId="39A9136A" w14:textId="77777777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Moderné technológie</w:t>
      </w:r>
    </w:p>
    <w:p w14:paraId="265A8F91" w14:textId="77777777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Praktická výučba napojená na terénnu prax</w:t>
      </w:r>
    </w:p>
    <w:p w14:paraId="7B428125" w14:textId="77777777" w:rsidR="005F6C57" w:rsidRPr="00740050" w:rsidRDefault="005F6C57" w:rsidP="005F6C57">
      <w:pPr>
        <w:pStyle w:val="Odsekzoznamu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Externé výučbové pracoviská</w:t>
      </w:r>
    </w:p>
    <w:p w14:paraId="41614F9E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D383EE2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Postgraduálne vzdelávanie – certifikačné činnosti</w:t>
      </w:r>
    </w:p>
    <w:p w14:paraId="01D13FD1" w14:textId="77777777" w:rsidR="005F6C57" w:rsidRPr="00740050" w:rsidRDefault="005F6C57" w:rsidP="005F6C57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Integrácia certifikačných činností do kontinuálneho vzdelávania</w:t>
      </w:r>
    </w:p>
    <w:p w14:paraId="5389F4FD" w14:textId="77777777" w:rsidR="005F6C57" w:rsidRPr="00740050" w:rsidRDefault="005F6C57" w:rsidP="005F6C57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Transformácia certifikačných činností </w:t>
      </w:r>
    </w:p>
    <w:p w14:paraId="6E88735D" w14:textId="77777777" w:rsidR="005F6C57" w:rsidRPr="00740050" w:rsidRDefault="005F6C57" w:rsidP="005F6C57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Samostatná súčasť kontinuálneho vzdelávania </w:t>
      </w:r>
    </w:p>
    <w:p w14:paraId="03BEA562" w14:textId="77777777" w:rsidR="005F6C57" w:rsidRPr="00740050" w:rsidRDefault="005F6C57" w:rsidP="005F6C57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Otvorenie systému </w:t>
      </w:r>
    </w:p>
    <w:p w14:paraId="43DB57F9" w14:textId="77777777" w:rsidR="005F6C57" w:rsidRPr="00740050" w:rsidRDefault="005F6C57" w:rsidP="005F6C57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Transparentnosť </w:t>
      </w:r>
    </w:p>
    <w:p w14:paraId="50CACE36" w14:textId="77777777" w:rsidR="005F6C57" w:rsidRPr="00740050" w:rsidRDefault="005F6C57" w:rsidP="005F6C57">
      <w:pPr>
        <w:pStyle w:val="Odsekzoznamu"/>
        <w:numPr>
          <w:ilvl w:val="0"/>
          <w:numId w:val="7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Gestor vzdelávania = SKZL</w:t>
      </w:r>
    </w:p>
    <w:p w14:paraId="0F55D6E5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B21CA88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Legislatívne upraviť kompetencie komory</w:t>
      </w:r>
    </w:p>
    <w:p w14:paraId="0A63BE38" w14:textId="6A7A4517" w:rsidR="005F6C57" w:rsidRPr="00740050" w:rsidRDefault="005F6C57" w:rsidP="005F6C57">
      <w:pPr>
        <w:pStyle w:val="Odsekzoznamu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Pôsobnosť na všetkých registrovaných zubných lekárov</w:t>
      </w:r>
      <w:r w:rsidR="00330E8F">
        <w:rPr>
          <w:rFonts w:ascii="Times New Roman" w:hAnsi="Times New Roman"/>
          <w:color w:val="000000"/>
          <w:sz w:val="24"/>
          <w:szCs w:val="24"/>
        </w:rPr>
        <w:t>, nielen na členov</w:t>
      </w:r>
    </w:p>
    <w:p w14:paraId="2F8512BB" w14:textId="77777777" w:rsidR="005F6C57" w:rsidRPr="00740050" w:rsidRDefault="005F6C57" w:rsidP="005F6C57">
      <w:pPr>
        <w:pStyle w:val="Odsekzoznamu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Komora spolupôsobí od začiatku na tvorbe legislatívy týkajúcej sa poskytovania zdravotnej starostlivosti v zubnom lekárstve</w:t>
      </w:r>
    </w:p>
    <w:p w14:paraId="1F2C661A" w14:textId="77777777" w:rsidR="005F6C57" w:rsidRPr="00740050" w:rsidRDefault="005F6C57" w:rsidP="005F6C57">
      <w:pPr>
        <w:pStyle w:val="Odsekzoznamu"/>
        <w:spacing w:after="200" w:line="276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555C8F1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Komora odborný garant zubného lekárstva</w:t>
      </w:r>
    </w:p>
    <w:p w14:paraId="470A82B1" w14:textId="77777777" w:rsidR="005F6C57" w:rsidRPr="00330E8F" w:rsidRDefault="005F6C57" w:rsidP="005F6C57">
      <w:pPr>
        <w:pStyle w:val="Odsekzoznamu"/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330E8F">
        <w:rPr>
          <w:rFonts w:ascii="Times New Roman" w:hAnsi="Times New Roman"/>
          <w:color w:val="000000"/>
          <w:sz w:val="24"/>
          <w:szCs w:val="24"/>
        </w:rPr>
        <w:t>Rada odborníkov SKZL</w:t>
      </w:r>
    </w:p>
    <w:p w14:paraId="7944A287" w14:textId="77777777" w:rsidR="005F6C57" w:rsidRPr="00740050" w:rsidRDefault="005F6C57" w:rsidP="005F6C57">
      <w:pPr>
        <w:pStyle w:val="Odsekzoznamu"/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Zastúpené jednotlivé odborné spoločnosti</w:t>
      </w:r>
    </w:p>
    <w:p w14:paraId="591C1A44" w14:textId="77777777" w:rsidR="005F6C57" w:rsidRPr="00740050" w:rsidRDefault="005F6C57" w:rsidP="005F6C57">
      <w:pPr>
        <w:pStyle w:val="Odsekzoznamu"/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Vydávanie štandardných postupov</w:t>
      </w:r>
    </w:p>
    <w:p w14:paraId="26287B0C" w14:textId="77777777" w:rsidR="005F6C57" w:rsidRPr="00740050" w:rsidRDefault="005F6C57" w:rsidP="005F6C57">
      <w:pPr>
        <w:pStyle w:val="Odsekzoznamu"/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Vydávanie stanovísk</w:t>
      </w:r>
    </w:p>
    <w:p w14:paraId="7A0534C0" w14:textId="77777777" w:rsidR="005F6C57" w:rsidRPr="00740050" w:rsidRDefault="005F6C57" w:rsidP="005F6C57">
      <w:pPr>
        <w:pStyle w:val="Odsekzoznamu"/>
        <w:numPr>
          <w:ilvl w:val="0"/>
          <w:numId w:val="8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Odborné odporúčania</w:t>
      </w:r>
    </w:p>
    <w:p w14:paraId="34C5AF33" w14:textId="77777777" w:rsidR="005F6C57" w:rsidRPr="00740050" w:rsidRDefault="005F6C57" w:rsidP="005F6C57">
      <w:pPr>
        <w:pStyle w:val="Odsekzoznamu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Zodpovednosť, prítomnosť na pracovisku</w:t>
      </w:r>
    </w:p>
    <w:p w14:paraId="1EDEFE56" w14:textId="77777777" w:rsidR="005F6C57" w:rsidRPr="00740050" w:rsidRDefault="005F6C57" w:rsidP="005F6C57">
      <w:pPr>
        <w:pStyle w:val="Odsekzoznamu"/>
        <w:numPr>
          <w:ilvl w:val="0"/>
          <w:numId w:val="8"/>
        </w:num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Obmedzenie tvorby sietí zubných ambulancií </w:t>
      </w:r>
    </w:p>
    <w:p w14:paraId="6BCFF5AB" w14:textId="77777777" w:rsidR="005F6C57" w:rsidRPr="00740050" w:rsidRDefault="005F6C57" w:rsidP="005F6C57">
      <w:pPr>
        <w:pStyle w:val="Odsekzoznamu"/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</w:p>
    <w:p w14:paraId="24108574" w14:textId="327C56A6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 xml:space="preserve">Centrum akútnej zubo-lekárskej starostlivosti </w:t>
      </w:r>
    </w:p>
    <w:p w14:paraId="28DC6F03" w14:textId="77777777" w:rsidR="005F6C57" w:rsidRPr="00740050" w:rsidRDefault="005F6C57" w:rsidP="005F6C57">
      <w:pPr>
        <w:pStyle w:val="Odsekzoznamu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Akútne stavy</w:t>
      </w:r>
    </w:p>
    <w:p w14:paraId="2B9B7E96" w14:textId="77777777" w:rsidR="005F6C57" w:rsidRPr="00740050" w:rsidRDefault="005F6C57" w:rsidP="005F6C57">
      <w:pPr>
        <w:pStyle w:val="Odsekzoznamu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Hendikepovaní pacienti</w:t>
      </w:r>
    </w:p>
    <w:p w14:paraId="075418B0" w14:textId="2A459B28" w:rsidR="005F6C57" w:rsidRPr="00740050" w:rsidRDefault="005F6C57" w:rsidP="005F6C57">
      <w:pPr>
        <w:pStyle w:val="Odsekzoznamu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Ťažko</w:t>
      </w:r>
      <w:r w:rsidR="00311A5B" w:rsidRPr="007400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40050">
        <w:rPr>
          <w:rFonts w:ascii="Times New Roman" w:hAnsi="Times New Roman"/>
          <w:color w:val="000000"/>
          <w:sz w:val="24"/>
          <w:szCs w:val="24"/>
        </w:rPr>
        <w:t>ošetriteľné</w:t>
      </w:r>
      <w:proofErr w:type="spellEnd"/>
      <w:r w:rsidRPr="00740050">
        <w:rPr>
          <w:rFonts w:ascii="Times New Roman" w:hAnsi="Times New Roman"/>
          <w:color w:val="000000"/>
          <w:sz w:val="24"/>
          <w:szCs w:val="24"/>
        </w:rPr>
        <w:t xml:space="preserve"> deti</w:t>
      </w:r>
    </w:p>
    <w:p w14:paraId="4043C365" w14:textId="77777777" w:rsidR="005F6C57" w:rsidRPr="00740050" w:rsidRDefault="005F6C57" w:rsidP="005F6C57">
      <w:pPr>
        <w:pStyle w:val="Odsekzoznamu"/>
        <w:numPr>
          <w:ilvl w:val="0"/>
          <w:numId w:val="10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Akútne infekčné ochorenia</w:t>
      </w:r>
    </w:p>
    <w:p w14:paraId="4DE37EFA" w14:textId="3C4B7909" w:rsidR="005F6C57" w:rsidRPr="00740050" w:rsidRDefault="005F6C57" w:rsidP="00740050">
      <w:pPr>
        <w:pStyle w:val="Odsekzoznamu"/>
        <w:spacing w:after="200" w:line="276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(samostatný materiál)</w:t>
      </w:r>
      <w:r w:rsidR="00740050">
        <w:rPr>
          <w:rFonts w:ascii="Times New Roman" w:hAnsi="Times New Roman"/>
          <w:color w:val="000000"/>
          <w:sz w:val="24"/>
          <w:szCs w:val="24"/>
        </w:rPr>
        <w:br/>
      </w:r>
    </w:p>
    <w:p w14:paraId="2B8B18C2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Dentálna mapa (Optimalizácia siete PZS)</w:t>
      </w:r>
    </w:p>
    <w:p w14:paraId="12419F73" w14:textId="77777777" w:rsidR="005F6C57" w:rsidRPr="00740050" w:rsidRDefault="005F6C57" w:rsidP="005F6C57">
      <w:pPr>
        <w:pStyle w:val="Odsekzoznamu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Analýza reálnej siete, vekovej štruktúry a veľkosti úväzkov zubných lekárov </w:t>
      </w:r>
    </w:p>
    <w:p w14:paraId="7A8EB180" w14:textId="77777777" w:rsidR="005F6C57" w:rsidRPr="00740050" w:rsidRDefault="005F6C57" w:rsidP="005F6C57">
      <w:pPr>
        <w:pStyle w:val="Odsekzoznamu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Určenie optimálnej siete – v spolupráci VÚC, ZP, SKZL</w:t>
      </w:r>
    </w:p>
    <w:p w14:paraId="4F3C7A94" w14:textId="77777777" w:rsidR="005F6C57" w:rsidRPr="00740050" w:rsidRDefault="005F6C57" w:rsidP="005F6C57">
      <w:pPr>
        <w:pStyle w:val="Odsekzoznamu"/>
        <w:numPr>
          <w:ilvl w:val="0"/>
          <w:numId w:val="11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Motivácia v menej atraktívnych oblastiach zo strany štátu, samospráv a zdravotných poisťovní </w:t>
      </w:r>
    </w:p>
    <w:p w14:paraId="5E375C00" w14:textId="150C21A1" w:rsidR="005F6C57" w:rsidRPr="00740050" w:rsidRDefault="003F0D1E" w:rsidP="00740050">
      <w:pPr>
        <w:pStyle w:val="Odsekzoznamu"/>
        <w:numPr>
          <w:ilvl w:val="0"/>
          <w:numId w:val="11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 xml:space="preserve">Centrum akútnej zubo-lekárskej starostlivosti </w:t>
      </w:r>
      <w:r w:rsidR="005F6C57" w:rsidRPr="00740050">
        <w:rPr>
          <w:rFonts w:ascii="Times New Roman" w:hAnsi="Times New Roman"/>
          <w:color w:val="000000"/>
          <w:sz w:val="24"/>
          <w:szCs w:val="24"/>
        </w:rPr>
        <w:t>- zriadenie pracovísk v  rámci UN/FN – štátom garantované (samostatný materiál)</w:t>
      </w:r>
    </w:p>
    <w:p w14:paraId="0CD15CD8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56E39313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Programové plánovanie finančných zdrojov</w:t>
      </w:r>
    </w:p>
    <w:p w14:paraId="738E1A1D" w14:textId="77777777" w:rsidR="005F6C57" w:rsidRPr="00740050" w:rsidRDefault="005F6C57" w:rsidP="005F6C57">
      <w:pPr>
        <w:pStyle w:val="Odsekzoznamu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40050">
        <w:rPr>
          <w:rFonts w:ascii="Times New Roman" w:hAnsi="Times New Roman"/>
          <w:color w:val="000000"/>
          <w:sz w:val="24"/>
          <w:szCs w:val="24"/>
        </w:rPr>
        <w:t>Intersektorálne</w:t>
      </w:r>
      <w:proofErr w:type="spellEnd"/>
      <w:r w:rsidRPr="00740050">
        <w:rPr>
          <w:rFonts w:ascii="Times New Roman" w:hAnsi="Times New Roman"/>
          <w:color w:val="000000"/>
          <w:sz w:val="24"/>
          <w:szCs w:val="24"/>
        </w:rPr>
        <w:t xml:space="preserve"> členenie finančných zdrojov už pri tvorbe štátneho rozpočtu</w:t>
      </w:r>
    </w:p>
    <w:p w14:paraId="2D8CBF0D" w14:textId="286BE375" w:rsidR="005F6C57" w:rsidRPr="00740050" w:rsidRDefault="005F6C57" w:rsidP="005F6C57">
      <w:pPr>
        <w:pStyle w:val="Odsekzoznamu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Reálne ohodnotenie plne hradených výkonov</w:t>
      </w:r>
      <w:r w:rsidR="00740050">
        <w:rPr>
          <w:rFonts w:ascii="Times New Roman" w:hAnsi="Times New Roman"/>
          <w:color w:val="000000"/>
          <w:sz w:val="24"/>
          <w:szCs w:val="24"/>
        </w:rPr>
        <w:t xml:space="preserve"> z verejného ZP</w:t>
      </w:r>
    </w:p>
    <w:p w14:paraId="0B8A1A96" w14:textId="77777777" w:rsidR="005F6C57" w:rsidRPr="00740050" w:rsidRDefault="005F6C57" w:rsidP="005F6C57">
      <w:pPr>
        <w:pStyle w:val="Odsekzoznamu"/>
        <w:spacing w:after="200" w:line="276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C2A9D32" w14:textId="77777777" w:rsidR="005F6C57" w:rsidRPr="00740050" w:rsidRDefault="005F6C57" w:rsidP="005F6C57">
      <w:pPr>
        <w:pStyle w:val="Odsekzoznamu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40050">
        <w:rPr>
          <w:rFonts w:ascii="Times New Roman" w:hAnsi="Times New Roman"/>
          <w:b/>
          <w:bCs/>
          <w:color w:val="000000"/>
          <w:sz w:val="24"/>
          <w:szCs w:val="24"/>
        </w:rPr>
        <w:t>Prevencia</w:t>
      </w:r>
    </w:p>
    <w:p w14:paraId="19DD638E" w14:textId="77777777" w:rsidR="005F6C57" w:rsidRPr="00740050" w:rsidRDefault="005F6C57" w:rsidP="005F6C57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Podpora zdravia ústnej dutiny - cieľom je prijatie a naplnenie výzvy Asociácia pre budúcnosť bez zubného kazu, aby deti narodené po roku 2026 boli bez zubného kazu</w:t>
      </w:r>
    </w:p>
    <w:p w14:paraId="5D40F0A3" w14:textId="77777777" w:rsidR="005F6C57" w:rsidRPr="00740050" w:rsidRDefault="005F6C57" w:rsidP="005F6C57">
      <w:pPr>
        <w:pStyle w:val="Odsekzoznamu"/>
        <w:numPr>
          <w:ilvl w:val="0"/>
          <w:numId w:val="2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Zavedenie celoplošného programu prevencie zubného kazu</w:t>
      </w:r>
    </w:p>
    <w:p w14:paraId="1F5C83F2" w14:textId="77777777" w:rsidR="005F6C57" w:rsidRPr="00740050" w:rsidRDefault="005F6C57" w:rsidP="005F6C57">
      <w:pPr>
        <w:pStyle w:val="Odsekzoznamu"/>
        <w:numPr>
          <w:ilvl w:val="1"/>
          <w:numId w:val="3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integrácia do vzdelávacieho procesu - MŠ, ZŠ, SŠ</w:t>
      </w:r>
    </w:p>
    <w:p w14:paraId="3B3E8F84" w14:textId="77777777" w:rsidR="005F6C57" w:rsidRPr="00740050" w:rsidRDefault="005F6C57" w:rsidP="005F6C57">
      <w:pPr>
        <w:pStyle w:val="Odsekzoznamu"/>
        <w:numPr>
          <w:ilvl w:val="1"/>
          <w:numId w:val="3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úprava stravovacích štandardov v MŠ, ZŠ, SŠ, vylúčenie podávania sladených nápojov</w:t>
      </w:r>
    </w:p>
    <w:p w14:paraId="6A14820F" w14:textId="77777777" w:rsidR="005F6C57" w:rsidRPr="00740050" w:rsidRDefault="005F6C57" w:rsidP="005F6C57">
      <w:pPr>
        <w:pStyle w:val="Odsekzoznamu"/>
        <w:numPr>
          <w:ilvl w:val="1"/>
          <w:numId w:val="3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osveta vrátane zdôraznenia možného dopadu ochorení dutiny ústnej na celkový organizmus a iné ochorenia</w:t>
      </w:r>
    </w:p>
    <w:p w14:paraId="1B88D699" w14:textId="1887ED2C" w:rsidR="005F6C57" w:rsidRPr="00740050" w:rsidRDefault="005F6C57" w:rsidP="00740050">
      <w:pPr>
        <w:pStyle w:val="Odsekzoznamu"/>
        <w:numPr>
          <w:ilvl w:val="1"/>
          <w:numId w:val="3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podpora existujúcich programov v prevencii zubného kazu v spolupráci s MZ SR, MŠ SR, ZP, ÚVZ</w:t>
      </w:r>
    </w:p>
    <w:p w14:paraId="6B9D68DF" w14:textId="31A2783E" w:rsidR="005F6C57" w:rsidRPr="00740050" w:rsidRDefault="005F6C57" w:rsidP="005F6C57">
      <w:pPr>
        <w:pStyle w:val="Odsekzoznamu"/>
        <w:numPr>
          <w:ilvl w:val="1"/>
          <w:numId w:val="3"/>
        </w:numPr>
        <w:spacing w:after="200" w:line="276" w:lineRule="auto"/>
        <w:rPr>
          <w:rFonts w:ascii="Times New Roman" w:hAnsi="Times New Roman"/>
          <w:color w:val="000000"/>
          <w:sz w:val="24"/>
          <w:szCs w:val="24"/>
        </w:rPr>
      </w:pPr>
      <w:r w:rsidRPr="00740050">
        <w:rPr>
          <w:rFonts w:ascii="Times New Roman" w:hAnsi="Times New Roman"/>
          <w:color w:val="000000"/>
          <w:sz w:val="24"/>
          <w:szCs w:val="24"/>
        </w:rPr>
        <w:t>SKZL – odborný garant</w:t>
      </w:r>
    </w:p>
    <w:p w14:paraId="10CD232F" w14:textId="77777777" w:rsidR="005F6C57" w:rsidRPr="00740050" w:rsidRDefault="005F6C57" w:rsidP="005F6C57">
      <w:pPr>
        <w:pStyle w:val="Odsekzoznamu"/>
        <w:spacing w:after="200" w:line="276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28CB7268" w14:textId="77777777" w:rsidR="005F6C57" w:rsidRPr="00740050" w:rsidRDefault="005F6C57" w:rsidP="005F6C57">
      <w:pPr>
        <w:pStyle w:val="Odsekzoznamu"/>
        <w:spacing w:after="200" w:line="276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04AD9121" w14:textId="77777777" w:rsidR="00F64E90" w:rsidRPr="00740050" w:rsidRDefault="00F64E90">
      <w:pPr>
        <w:rPr>
          <w:sz w:val="24"/>
          <w:szCs w:val="24"/>
        </w:rPr>
      </w:pPr>
    </w:p>
    <w:sectPr w:rsidR="00F64E90" w:rsidRPr="00740050" w:rsidSect="003746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5C33" w14:textId="77777777" w:rsidR="00887CE5" w:rsidRDefault="00887CE5">
      <w:pPr>
        <w:spacing w:after="0" w:line="240" w:lineRule="auto"/>
      </w:pPr>
      <w:r>
        <w:separator/>
      </w:r>
    </w:p>
  </w:endnote>
  <w:endnote w:type="continuationSeparator" w:id="0">
    <w:p w14:paraId="0543188D" w14:textId="77777777" w:rsidR="00887CE5" w:rsidRDefault="0088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39F5F" w14:textId="77777777" w:rsidR="00887CE5" w:rsidRDefault="00887CE5">
      <w:pPr>
        <w:spacing w:after="0" w:line="240" w:lineRule="auto"/>
      </w:pPr>
      <w:r>
        <w:separator/>
      </w:r>
    </w:p>
  </w:footnote>
  <w:footnote w:type="continuationSeparator" w:id="0">
    <w:p w14:paraId="7F60C0DA" w14:textId="77777777" w:rsidR="00887CE5" w:rsidRDefault="00887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86D7" w14:textId="31CE6C5F" w:rsidR="0096775E" w:rsidRDefault="005F6C57" w:rsidP="0096775E">
    <w:pPr>
      <w:pStyle w:val="Hlavika"/>
      <w:jc w:val="center"/>
    </w:pPr>
    <w:r>
      <w:rPr>
        <w:noProof/>
      </w:rPr>
      <w:drawing>
        <wp:inline distT="0" distB="0" distL="0" distR="0" wp14:anchorId="1FF0B954" wp14:editId="4037A554">
          <wp:extent cx="798830" cy="865505"/>
          <wp:effectExtent l="0" t="0" r="127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CC4"/>
    <w:multiLevelType w:val="hybridMultilevel"/>
    <w:tmpl w:val="4FCCD8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B0947"/>
    <w:multiLevelType w:val="hybridMultilevel"/>
    <w:tmpl w:val="16B44D54"/>
    <w:lvl w:ilvl="0" w:tplc="AEBA90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AEBA906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2866"/>
    <w:multiLevelType w:val="hybridMultilevel"/>
    <w:tmpl w:val="30A0E93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D56109"/>
    <w:multiLevelType w:val="hybridMultilevel"/>
    <w:tmpl w:val="C7D01C06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FB6503F"/>
    <w:multiLevelType w:val="hybridMultilevel"/>
    <w:tmpl w:val="6988E2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AB65A0"/>
    <w:multiLevelType w:val="hybridMultilevel"/>
    <w:tmpl w:val="135ABB2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E43CF8"/>
    <w:multiLevelType w:val="hybridMultilevel"/>
    <w:tmpl w:val="25582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65C33"/>
    <w:multiLevelType w:val="hybridMultilevel"/>
    <w:tmpl w:val="DA966250"/>
    <w:lvl w:ilvl="0" w:tplc="364ECB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</w:rPr>
    </w:lvl>
    <w:lvl w:ilvl="1" w:tplc="25847B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421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E20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206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38CF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A51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66284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284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335CE"/>
    <w:multiLevelType w:val="multilevel"/>
    <w:tmpl w:val="C10430C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67A02764"/>
    <w:multiLevelType w:val="hybridMultilevel"/>
    <w:tmpl w:val="BDBE969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9F0BAE"/>
    <w:multiLevelType w:val="hybridMultilevel"/>
    <w:tmpl w:val="808CDC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FA40C8C"/>
    <w:multiLevelType w:val="hybridMultilevel"/>
    <w:tmpl w:val="378695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57"/>
    <w:rsid w:val="0026357B"/>
    <w:rsid w:val="002C79C2"/>
    <w:rsid w:val="00311A5B"/>
    <w:rsid w:val="00330E8F"/>
    <w:rsid w:val="003F0D1E"/>
    <w:rsid w:val="005F6C57"/>
    <w:rsid w:val="00740050"/>
    <w:rsid w:val="008635EE"/>
    <w:rsid w:val="00887CE5"/>
    <w:rsid w:val="00F6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852CA"/>
  <w15:chartTrackingRefBased/>
  <w15:docId w15:val="{3AA8D4A6-FC72-44AC-BC28-D3E66B43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6C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6C57"/>
    <w:pPr>
      <w:spacing w:after="160" w:line="259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F6C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6C57"/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3F0D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Lujza Hanová</cp:lastModifiedBy>
  <cp:revision>3</cp:revision>
  <dcterms:created xsi:type="dcterms:W3CDTF">2022-01-26T09:26:00Z</dcterms:created>
  <dcterms:modified xsi:type="dcterms:W3CDTF">2022-01-27T06:40:00Z</dcterms:modified>
</cp:coreProperties>
</file>