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95165" w14:textId="77777777" w:rsidR="00A02B90" w:rsidRDefault="00B166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00548B36" w14:textId="77777777" w:rsidR="00A02B90" w:rsidRDefault="00A02B90">
      <w:pPr>
        <w:rPr>
          <w:rFonts w:ascii="Times New Roman" w:hAnsi="Times New Roman"/>
          <w:sz w:val="24"/>
          <w:szCs w:val="24"/>
        </w:rPr>
      </w:pPr>
    </w:p>
    <w:p w14:paraId="466D56FB" w14:textId="77777777" w:rsidR="00A02B90" w:rsidRDefault="00B166A1">
      <w:pPr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TLAČOVÁ SPRÁVA</w:t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Bratislava, 27. 1. 2022</w:t>
      </w:r>
    </w:p>
    <w:p w14:paraId="6BAEB625" w14:textId="77777777" w:rsidR="00A02B90" w:rsidRDefault="00B166A1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/>
          <w:b/>
          <w:bCs/>
          <w:sz w:val="24"/>
          <w:szCs w:val="24"/>
        </w:rPr>
        <w:t>Aktuálna situácia ošetrovania pacientov v zubných ambulanciách</w:t>
      </w:r>
    </w:p>
    <w:p w14:paraId="288EA54D" w14:textId="77777777" w:rsidR="00A02B90" w:rsidRDefault="00B166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Zubné ambulancie ošetrujú pacientov v štandardnom režime so zvýšeným hygienicko-epidemiologickým režimom. Stále platí objednávanie a konzultácia so zubným lekárom telefonicky, alebo mailom. Zub</w:t>
      </w:r>
      <w:r>
        <w:rPr>
          <w:rFonts w:ascii="Times New Roman" w:hAnsi="Times New Roman"/>
          <w:sz w:val="24"/>
          <w:szCs w:val="24"/>
        </w:rPr>
        <w:t>ní lekári sa správajú zodpovedne a profesionálne (viď prieskum) voči pacientom a dentálnym tímom.</w:t>
      </w:r>
    </w:p>
    <w:p w14:paraId="03683831" w14:textId="77777777" w:rsidR="00A02B90" w:rsidRDefault="00A02B90">
      <w:pPr>
        <w:rPr>
          <w:rFonts w:ascii="Times New Roman" w:hAnsi="Times New Roman"/>
          <w:sz w:val="24"/>
          <w:szCs w:val="24"/>
        </w:rPr>
      </w:pPr>
    </w:p>
    <w:p w14:paraId="504072A3" w14:textId="77777777" w:rsidR="00A02B90" w:rsidRDefault="00B166A1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Čo má občan vedieť k situácii o odložených preventívnych prehliadkach</w:t>
      </w:r>
    </w:p>
    <w:p w14:paraId="537AB1F4" w14:textId="77777777" w:rsidR="00A02B90" w:rsidRDefault="00B166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Vzhľadom na blížiaci sa koniec roku 2021, eskalujúcu pandémiu a predpokladaný silný </w:t>
      </w:r>
      <w:r>
        <w:rPr>
          <w:rFonts w:ascii="Times New Roman" w:hAnsi="Times New Roman"/>
          <w:sz w:val="24"/>
          <w:szCs w:val="24"/>
        </w:rPr>
        <w:t>nárast požiadaviek pacientov na preventívne prehliadky, kedy dochádza k významnému zvyšovaniu tlaku na zubných lekárov, čo súbežne vedie k obmedzeniu poskytovania iných zdravotných výkonov v ústnej dutine Komora v novembri 2021 požiadala kompetentných na m</w:t>
      </w:r>
      <w:r>
        <w:rPr>
          <w:rFonts w:ascii="Times New Roman" w:hAnsi="Times New Roman"/>
          <w:sz w:val="24"/>
          <w:szCs w:val="24"/>
        </w:rPr>
        <w:t>inisterstve zdravotníctva o doplnenie v zákone - vypustiť povinnosť absolvovania preventívnej prehliadky v predchádzajúcom kalendárnom roku ako podmienku úhrady zdravotných výkonov v základnom prevedení poskytnutých v súvislosti so zubným kazom z verejného</w:t>
      </w:r>
      <w:r>
        <w:rPr>
          <w:rFonts w:ascii="Times New Roman" w:hAnsi="Times New Roman"/>
          <w:sz w:val="24"/>
          <w:szCs w:val="24"/>
        </w:rPr>
        <w:t xml:space="preserve"> zdravotného poistenia pre rok 2022, čo bolo zo strany ministerstva akceptované. </w:t>
      </w:r>
    </w:p>
    <w:p w14:paraId="2509B635" w14:textId="77777777" w:rsidR="00A02B90" w:rsidRDefault="00B166A1">
      <w:pPr>
        <w:jc w:val="both"/>
      </w:pPr>
      <w:r>
        <w:rPr>
          <w:rStyle w:val="Vrazn"/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>Občan má aj tento rok plne hradené zdravotné výkony v základnom prevedení pri liečbe zubného kazu z verejného zdravotného poistenia. A to aj v prípade, ak minulý rok neabsolv</w:t>
      </w:r>
      <w:r>
        <w:rPr>
          <w:rStyle w:val="Vrazn"/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>oval preventívnu prehliadku</w:t>
      </w:r>
      <w:r>
        <w:rPr>
          <w:rStyle w:val="Vrazn"/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14:paraId="009FDD8F" w14:textId="77777777" w:rsidR="00A02B90" w:rsidRDefault="00B166A1">
      <w:pPr>
        <w:jc w:val="both"/>
      </w:pPr>
      <w:r>
        <w:rPr>
          <w:rFonts w:ascii="Times New Roman" w:hAnsi="Times New Roman"/>
          <w:b/>
          <w:bCs/>
          <w:sz w:val="24"/>
          <w:szCs w:val="24"/>
        </w:rPr>
        <w:t>Odporúčanie Komory pre občanov:</w:t>
      </w:r>
      <w:r>
        <w:rPr>
          <w:rFonts w:ascii="Times New Roman" w:hAnsi="Times New Roman"/>
          <w:sz w:val="24"/>
          <w:szCs w:val="24"/>
        </w:rPr>
        <w:t xml:space="preserve"> telefonicky kontaktovať svojho zubného lekára, objednať sa na preventívnu prehliadku v čase, ktorý určí zubný lekár/sestra a nezabudnúť po absolvovaní preventívnej prehliadky prísť následne aj na</w:t>
      </w:r>
      <w:r>
        <w:rPr>
          <w:rFonts w:ascii="Times New Roman" w:hAnsi="Times New Roman"/>
          <w:sz w:val="24"/>
          <w:szCs w:val="24"/>
        </w:rPr>
        <w:t xml:space="preserve"> ošetrenie tak, aby chrup mal komplexne </w:t>
      </w:r>
      <w:proofErr w:type="spellStart"/>
      <w:r>
        <w:rPr>
          <w:rFonts w:ascii="Times New Roman" w:hAnsi="Times New Roman"/>
          <w:sz w:val="24"/>
          <w:szCs w:val="24"/>
        </w:rPr>
        <w:t>sanovaný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1003634F" w14:textId="77777777" w:rsidR="00A02B90" w:rsidRDefault="00A02B90">
      <w:pPr>
        <w:jc w:val="both"/>
        <w:rPr>
          <w:rFonts w:ascii="Times New Roman" w:hAnsi="Times New Roman"/>
          <w:sz w:val="24"/>
          <w:szCs w:val="24"/>
        </w:rPr>
      </w:pPr>
    </w:p>
    <w:p w14:paraId="6D05958E" w14:textId="77777777" w:rsidR="00A02B90" w:rsidRDefault="00B166A1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Centrá akútnej zubno-lekárskej starostlivosti </w:t>
      </w:r>
    </w:p>
    <w:p w14:paraId="0A475559" w14:textId="77777777" w:rsidR="00A02B90" w:rsidRDefault="00B166A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Prečo je nevyhnutné zriadiť takéto pracoviská, ktoré budú garantované štátom?</w:t>
      </w:r>
    </w:p>
    <w:p w14:paraId="6DA1F0A6" w14:textId="77777777" w:rsidR="00A02B90" w:rsidRDefault="00B166A1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 rámci OSN integrácia centier v rámci jednotlivých typov nemocníc tak, aby </w:t>
      </w:r>
      <w:r>
        <w:rPr>
          <w:rFonts w:ascii="Times New Roman" w:hAnsi="Times New Roman"/>
          <w:color w:val="000000"/>
          <w:sz w:val="24"/>
          <w:szCs w:val="24"/>
        </w:rPr>
        <w:t>bolo zabezpečené dostupné ošetrenie akútnych stavov a rizikových pacientov, pri ktorých je problematické a rizikové ošetrenie v bežnej terénnej ambulancii zubného lekárstva. Rizikový pacienti často potrebujú individuálny prístup skúseného zubného lekára a </w:t>
      </w:r>
      <w:r>
        <w:rPr>
          <w:rFonts w:ascii="Times New Roman" w:hAnsi="Times New Roman"/>
          <w:color w:val="000000"/>
          <w:sz w:val="24"/>
          <w:szCs w:val="24"/>
        </w:rPr>
        <w:t xml:space="preserve">často je vyžadovaná pri ošetrení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premedikácia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prípadne ošetrenie v krátkodobej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sedácii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prípadne celkovej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anestéze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789A0EC8" w14:textId="77777777" w:rsidR="00A02B90" w:rsidRDefault="00B166A1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Ukázala túto potrebu až pandémia? </w:t>
      </w:r>
    </w:p>
    <w:p w14:paraId="4935FFDF" w14:textId="77777777" w:rsidR="00A02B90" w:rsidRDefault="00A02B90">
      <w:pPr>
        <w:rPr>
          <w:rFonts w:ascii="Times New Roman" w:hAnsi="Times New Roman"/>
          <w:color w:val="000000"/>
          <w:sz w:val="24"/>
          <w:szCs w:val="24"/>
        </w:rPr>
      </w:pPr>
    </w:p>
    <w:p w14:paraId="37A5F989" w14:textId="77777777" w:rsidR="00A02B90" w:rsidRDefault="00A02B90">
      <w:pPr>
        <w:rPr>
          <w:rFonts w:ascii="Times New Roman" w:hAnsi="Times New Roman"/>
          <w:color w:val="000000"/>
          <w:sz w:val="24"/>
          <w:szCs w:val="24"/>
        </w:rPr>
      </w:pPr>
    </w:p>
    <w:p w14:paraId="7562C958" w14:textId="77777777" w:rsidR="00A02B90" w:rsidRDefault="00B166A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Na potrebu riešenia tejto situácie SKZL upozorňuje už dlhodobo, pandémie iba znovu ukázala </w:t>
      </w:r>
      <w:r>
        <w:rPr>
          <w:rFonts w:ascii="Times New Roman" w:hAnsi="Times New Roman"/>
          <w:color w:val="000000"/>
          <w:sz w:val="24"/>
          <w:szCs w:val="24"/>
        </w:rPr>
        <w:t>potrebu riešenia predovšetkým ošetrenia pacientov s akútnym infekčným ošetrením.</w:t>
      </w:r>
    </w:p>
    <w:p w14:paraId="69D3273B" w14:textId="77777777" w:rsidR="00A02B90" w:rsidRDefault="00B166A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Ako sú v súčasnosti ošetrovaní hendikepovaní a ťažko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ošetriteľní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pacienti?</w:t>
      </w:r>
    </w:p>
    <w:p w14:paraId="649502C9" w14:textId="77777777" w:rsidR="00A02B90" w:rsidRDefault="00B166A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 súčasnosti sú pacienti ošetrovaní v niekoľkých ambulanciách v rámci UN a FN, ako aj v niektorých </w:t>
      </w:r>
      <w:r>
        <w:rPr>
          <w:rFonts w:ascii="Times New Roman" w:hAnsi="Times New Roman"/>
          <w:color w:val="000000"/>
          <w:sz w:val="24"/>
          <w:szCs w:val="24"/>
        </w:rPr>
        <w:t>súkromných centrách, kde je však problematická finančná dostupnosť.</w:t>
      </w:r>
    </w:p>
    <w:p w14:paraId="4398B8A1" w14:textId="77777777" w:rsidR="00A02B90" w:rsidRDefault="00A02B90">
      <w:pPr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54EFC9A2" w14:textId="77777777" w:rsidR="00A02B90" w:rsidRDefault="00B166A1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Návrh SKZL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0"/>
        <w:gridCol w:w="4532"/>
      </w:tblGrid>
      <w:tr w:rsidR="00A02B90" w14:paraId="27D59FB9" w14:textId="77777777">
        <w:tblPrEx>
          <w:tblCellMar>
            <w:top w:w="0" w:type="dxa"/>
            <w:bottom w:w="0" w:type="dxa"/>
          </w:tblCellMar>
        </w:tblPrEx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74131" w14:textId="77777777" w:rsidR="00A02B90" w:rsidRDefault="00B166A1">
            <w:pPr>
              <w:spacing w:after="0" w:line="276" w:lineRule="auto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Univerzitná nemocnica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CB983" w14:textId="77777777" w:rsidR="00A02B90" w:rsidRDefault="00B166A1">
            <w:pPr>
              <w:spacing w:after="0" w:line="276" w:lineRule="auto"/>
              <w:jc w:val="center"/>
              <w:textAlignment w:val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Fakultná nemocnica</w:t>
            </w:r>
          </w:p>
        </w:tc>
      </w:tr>
      <w:tr w:rsidR="00A02B90" w14:paraId="6E2A5AF5" w14:textId="77777777">
        <w:tblPrEx>
          <w:tblCellMar>
            <w:top w:w="0" w:type="dxa"/>
            <w:bottom w:w="0" w:type="dxa"/>
          </w:tblCellMar>
        </w:tblPrEx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D3A79" w14:textId="77777777" w:rsidR="00A02B90" w:rsidRDefault="00B166A1">
            <w:pPr>
              <w:spacing w:after="0" w:line="276" w:lineRule="auto"/>
              <w:textAlignment w:val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Centrum akútnej ZL starostlivosti vyššieho stupňa</w:t>
            </w:r>
          </w:p>
          <w:p w14:paraId="18990BA0" w14:textId="77777777" w:rsidR="00A02B90" w:rsidRDefault="00B166A1">
            <w:pPr>
              <w:spacing w:after="0" w:line="276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Ošetrovanie akútnych stavov</w:t>
            </w:r>
          </w:p>
          <w:p w14:paraId="425FC088" w14:textId="77777777" w:rsidR="00A02B90" w:rsidRDefault="00B166A1">
            <w:pPr>
              <w:spacing w:after="0" w:line="276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Ošetrovanie rizikových pacientov</w:t>
            </w:r>
          </w:p>
          <w:p w14:paraId="6E69FF37" w14:textId="77777777" w:rsidR="00A02B90" w:rsidRDefault="00B166A1">
            <w:pPr>
              <w:pStyle w:val="Odsekzoznamu"/>
              <w:numPr>
                <w:ilvl w:val="0"/>
                <w:numId w:val="1"/>
              </w:numPr>
              <w:suppressAutoHyphens w:val="0"/>
              <w:spacing w:after="0" w:line="276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Akútne infekčné </w:t>
            </w:r>
            <w:r>
              <w:rPr>
                <w:rFonts w:ascii="Times New Roman" w:hAnsi="Times New Roman"/>
                <w:sz w:val="24"/>
                <w:szCs w:val="24"/>
              </w:rPr>
              <w:t>ochorenia</w:t>
            </w:r>
          </w:p>
          <w:p w14:paraId="7370CAB4" w14:textId="77777777" w:rsidR="00A02B90" w:rsidRDefault="00B166A1">
            <w:pPr>
              <w:pStyle w:val="Odsekzoznamu"/>
              <w:numPr>
                <w:ilvl w:val="0"/>
                <w:numId w:val="1"/>
              </w:numPr>
              <w:suppressAutoHyphens w:val="0"/>
              <w:spacing w:after="0" w:line="276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Hendikepovaní</w:t>
            </w:r>
          </w:p>
          <w:p w14:paraId="491D409E" w14:textId="77777777" w:rsidR="00A02B90" w:rsidRDefault="00B166A1">
            <w:pPr>
              <w:pStyle w:val="Odsekzoznamu"/>
              <w:numPr>
                <w:ilvl w:val="0"/>
                <w:numId w:val="1"/>
              </w:numPr>
              <w:suppressAutoHyphens w:val="0"/>
              <w:spacing w:after="0" w:line="276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Ťažko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ošetriteľné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deti</w:t>
            </w:r>
          </w:p>
          <w:p w14:paraId="0244D687" w14:textId="77777777" w:rsidR="00A02B90" w:rsidRDefault="00B166A1">
            <w:pPr>
              <w:spacing w:after="0" w:line="276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Výučbová základňa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A674" w14:textId="77777777" w:rsidR="00A02B90" w:rsidRDefault="00B166A1">
            <w:pPr>
              <w:spacing w:after="0" w:line="276" w:lineRule="auto"/>
              <w:textAlignment w:val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Centrum akútnej ZL starostlivosti </w:t>
            </w:r>
            <w:r>
              <w:rPr>
                <w:rFonts w:ascii="Times New Roman" w:hAnsi="Times New Roman"/>
                <w:sz w:val="24"/>
                <w:szCs w:val="24"/>
              </w:rPr>
              <w:t>Ošetrovanie akútnych stavov</w:t>
            </w:r>
          </w:p>
          <w:p w14:paraId="1C8C6678" w14:textId="77777777" w:rsidR="00A02B90" w:rsidRDefault="00B166A1">
            <w:pPr>
              <w:spacing w:after="0" w:line="276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Ošetrovanie rizikových pacientov</w:t>
            </w:r>
          </w:p>
          <w:p w14:paraId="5143C828" w14:textId="77777777" w:rsidR="00A02B90" w:rsidRDefault="00B166A1">
            <w:pPr>
              <w:pStyle w:val="Odsekzoznamu"/>
              <w:numPr>
                <w:ilvl w:val="0"/>
                <w:numId w:val="1"/>
              </w:numPr>
              <w:suppressAutoHyphens w:val="0"/>
              <w:spacing w:after="0" w:line="276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Akútne infekčné ochorenia</w:t>
            </w:r>
          </w:p>
          <w:p w14:paraId="30629A12" w14:textId="77777777" w:rsidR="00A02B90" w:rsidRDefault="00A02B90">
            <w:pPr>
              <w:spacing w:after="0" w:line="276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  <w:p w14:paraId="51BD81D3" w14:textId="77777777" w:rsidR="00A02B90" w:rsidRDefault="00B166A1">
            <w:pPr>
              <w:spacing w:after="0" w:line="276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 prípade potreby vybrané pracoviská rozsah ako u UN</w:t>
            </w:r>
          </w:p>
        </w:tc>
      </w:tr>
      <w:tr w:rsidR="00A02B90" w14:paraId="5F6B15BB" w14:textId="77777777">
        <w:tblPrEx>
          <w:tblCellMar>
            <w:top w:w="0" w:type="dxa"/>
            <w:bottom w:w="0" w:type="dxa"/>
          </w:tblCellMar>
        </w:tblPrEx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06B01" w14:textId="77777777" w:rsidR="00A02B90" w:rsidRDefault="00B166A1">
            <w:pPr>
              <w:spacing w:after="0" w:line="276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Ambulancie </w:t>
            </w:r>
            <w:r>
              <w:rPr>
                <w:rFonts w:ascii="Times New Roman" w:hAnsi="Times New Roman"/>
                <w:sz w:val="24"/>
                <w:szCs w:val="24"/>
              </w:rPr>
              <w:t>musia spĺňať vyšší štandard pre potrebu ošetrenia v celkovej anestézii a ošetrenie infekčných rizikových pacientov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5E4E6" w14:textId="77777777" w:rsidR="00A02B90" w:rsidRDefault="00B166A1">
            <w:pPr>
              <w:spacing w:after="0" w:line="276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Ambulancie musia spĺňať štandard pre potrebu ošetrenia infekčných rizikových pacientov</w:t>
            </w:r>
          </w:p>
        </w:tc>
      </w:tr>
    </w:tbl>
    <w:p w14:paraId="2A2DA065" w14:textId="77777777" w:rsidR="00A02B90" w:rsidRDefault="00A02B90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336F0707" w14:textId="77777777" w:rsidR="00A02B90" w:rsidRDefault="00A02B90">
      <w:pPr>
        <w:rPr>
          <w:rFonts w:ascii="Times New Roman" w:hAnsi="Times New Roman"/>
          <w:b/>
          <w:bCs/>
          <w:sz w:val="24"/>
          <w:szCs w:val="24"/>
        </w:rPr>
      </w:pPr>
    </w:p>
    <w:p w14:paraId="456D6432" w14:textId="77777777" w:rsidR="00A02B90" w:rsidRDefault="00B166A1">
      <w:r>
        <w:rPr>
          <w:rFonts w:ascii="Times New Roman" w:hAnsi="Times New Roman"/>
          <w:b/>
          <w:bCs/>
          <w:sz w:val="24"/>
          <w:szCs w:val="24"/>
        </w:rPr>
        <w:t xml:space="preserve">4. Legislatívne upraviť kompetencie komory, </w:t>
      </w:r>
      <w:r>
        <w:rPr>
          <w:rFonts w:ascii="Times New Roman" w:hAnsi="Times New Roman"/>
          <w:b/>
          <w:bCs/>
          <w:sz w:val="24"/>
          <w:szCs w:val="24"/>
        </w:rPr>
        <w:t>prečo je to nevyhnutné. Čo má z toho pacient a čo zubný lekár?</w:t>
      </w:r>
    </w:p>
    <w:p w14:paraId="10A9A50A" w14:textId="77777777" w:rsidR="00A02B90" w:rsidRDefault="00B166A1">
      <w:pPr>
        <w:pStyle w:val="gmail-p1"/>
        <w:spacing w:before="0" w:after="0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Komora slúži </w:t>
      </w:r>
      <w:r>
        <w:rPr>
          <w:rFonts w:ascii="Times New Roman" w:hAnsi="Times New Roman" w:cs="Times New Roman"/>
          <w:color w:val="000000"/>
          <w:sz w:val="24"/>
          <w:szCs w:val="24"/>
        </w:rPr>
        <w:t>ako zubným lekárom, tak aj pacientom/verejnosti.</w:t>
      </w:r>
      <w:r>
        <w:rPr>
          <w:rStyle w:val="gmail-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14:paraId="572D2010" w14:textId="77777777" w:rsidR="00A02B90" w:rsidRDefault="00B166A1">
      <w:pPr>
        <w:pStyle w:val="gmail-p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Propaguje orálne zdravie.</w:t>
      </w:r>
    </w:p>
    <w:p w14:paraId="7933DED3" w14:textId="77777777" w:rsidR="00A02B90" w:rsidRDefault="00B166A1">
      <w:pPr>
        <w:pStyle w:val="gmail-p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Podporuje integritu a etiku zubných lekárov.</w:t>
      </w:r>
    </w:p>
    <w:p w14:paraId="55F83CC3" w14:textId="77777777" w:rsidR="00A02B90" w:rsidRDefault="00B166A1">
      <w:pPr>
        <w:pStyle w:val="gmail-p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Podporuje zubných lekárov v snahe poskytovať bezpečnú, kval</w:t>
      </w:r>
      <w:r>
        <w:rPr>
          <w:rFonts w:ascii="Times New Roman" w:hAnsi="Times New Roman" w:cs="Times New Roman"/>
          <w:color w:val="000000"/>
          <w:sz w:val="24"/>
          <w:szCs w:val="24"/>
        </w:rPr>
        <w:t>itnú a odbornú zubnú starostlivosť.</w:t>
      </w:r>
    </w:p>
    <w:p w14:paraId="2F3FE546" w14:textId="77777777" w:rsidR="00A02B90" w:rsidRDefault="00B166A1">
      <w:pPr>
        <w:pStyle w:val="gmail-p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Zlepšuje vzťahy medzi pacientmi a zubnými lekármi.</w:t>
      </w:r>
    </w:p>
    <w:p w14:paraId="414B7F81" w14:textId="77777777" w:rsidR="00A02B90" w:rsidRDefault="00B166A1">
      <w:pPr>
        <w:pStyle w:val="gmail-p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Pomáha zubným lekárom zlepšovať orálne zdravie ich pacientov.</w:t>
      </w:r>
    </w:p>
    <w:p w14:paraId="08673FE0" w14:textId="77777777" w:rsidR="00A02B90" w:rsidRDefault="00B166A1">
      <w:pPr>
        <w:pStyle w:val="gmail-p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Vydáva odborný časopis (u nás Stomatológ a stavovský časopis Zubný lekár).</w:t>
      </w:r>
    </w:p>
    <w:p w14:paraId="7C0A16D7" w14:textId="77777777" w:rsidR="00A02B90" w:rsidRDefault="00A02B90">
      <w:pPr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2A1B253A" w14:textId="77777777" w:rsidR="00A02B90" w:rsidRDefault="00B166A1">
      <w:pPr>
        <w:pStyle w:val="gmail-p1"/>
        <w:spacing w:before="0" w:after="0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Vlastné Kompetencie Komory Zubn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ých lekárov</w:t>
      </w:r>
    </w:p>
    <w:p w14:paraId="6E6FE3EE" w14:textId="77777777" w:rsidR="00A02B90" w:rsidRDefault="00B166A1">
      <w:pPr>
        <w:pStyle w:val="gmail-li1"/>
        <w:numPr>
          <w:ilvl w:val="0"/>
          <w:numId w:val="3"/>
        </w:numPr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Vyjednávanie podmienok zmlúv zubných lekárov s poisťovňami</w:t>
      </w:r>
    </w:p>
    <w:p w14:paraId="558814B3" w14:textId="77777777" w:rsidR="00A02B90" w:rsidRDefault="00B166A1">
      <w:pPr>
        <w:pStyle w:val="gmail-li1"/>
        <w:numPr>
          <w:ilvl w:val="0"/>
          <w:numId w:val="2"/>
        </w:numPr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Sprostredkovanie povinného poistenia zodpovednosti za škodu</w:t>
      </w:r>
    </w:p>
    <w:p w14:paraId="608EFEF4" w14:textId="77777777" w:rsidR="00A02B90" w:rsidRDefault="00B166A1">
      <w:pPr>
        <w:pStyle w:val="gmail-li1"/>
        <w:numPr>
          <w:ilvl w:val="0"/>
          <w:numId w:val="2"/>
        </w:numPr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Hodnotenie splnenia podmienok ďalšieho/kontinuálneho vzdelávania</w:t>
      </w:r>
    </w:p>
    <w:p w14:paraId="68D7AE01" w14:textId="77777777" w:rsidR="00A02B90" w:rsidRDefault="00B166A1">
      <w:pPr>
        <w:pStyle w:val="gmail-li1"/>
        <w:numPr>
          <w:ilvl w:val="0"/>
          <w:numId w:val="2"/>
        </w:numPr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Úloha sprostredkovateľa pri mimosúdnych sporoch pacientov so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zubnými lekármi</w:t>
      </w:r>
    </w:p>
    <w:p w14:paraId="353B54A0" w14:textId="77777777" w:rsidR="00A02B90" w:rsidRDefault="00B166A1">
      <w:pPr>
        <w:pStyle w:val="gmail-li1"/>
        <w:numPr>
          <w:ilvl w:val="0"/>
          <w:numId w:val="2"/>
        </w:numPr>
        <w:spacing w:before="0" w:after="0"/>
      </w:pPr>
      <w:r>
        <w:rPr>
          <w:rFonts w:ascii="Times New Roman" w:hAnsi="Times New Roman" w:cs="Times New Roman"/>
          <w:color w:val="000000"/>
          <w:sz w:val="24"/>
          <w:szCs w:val="24"/>
        </w:rPr>
        <w:t>Vydávanie potvrdenia o splnení</w:t>
      </w:r>
      <w:r>
        <w:rPr>
          <w:rStyle w:val="gmail-apple-converted-space"/>
          <w:rFonts w:ascii="Times New Roman" w:hAnsi="Times New Roman" w:cs="Times New Roman"/>
          <w:color w:val="000000"/>
          <w:sz w:val="24"/>
          <w:szCs w:val="24"/>
        </w:rPr>
        <w:t xml:space="preserve">  </w:t>
      </w:r>
      <w:r>
        <w:rPr>
          <w:rFonts w:ascii="Times New Roman" w:hAnsi="Times New Roman" w:cs="Times New Roman"/>
          <w:color w:val="000000"/>
          <w:sz w:val="24"/>
          <w:szCs w:val="24"/>
        </w:rPr>
        <w:t>povinného kontinuálneho</w:t>
      </w:r>
      <w:r>
        <w:rPr>
          <w:rStyle w:val="gmail-apple-converted-space"/>
          <w:rFonts w:ascii="Times New Roman" w:hAnsi="Times New Roman" w:cs="Times New Roman"/>
          <w:color w:val="000000"/>
          <w:sz w:val="24"/>
          <w:szCs w:val="24"/>
        </w:rPr>
        <w:t xml:space="preserve">  </w:t>
      </w:r>
      <w:r>
        <w:rPr>
          <w:rFonts w:ascii="Times New Roman" w:hAnsi="Times New Roman" w:cs="Times New Roman"/>
          <w:color w:val="000000"/>
          <w:sz w:val="24"/>
          <w:szCs w:val="24"/>
        </w:rPr>
        <w:t>vzdelávania a organizácia</w:t>
      </w:r>
      <w:r>
        <w:rPr>
          <w:rStyle w:val="gmail-apple-converted-space"/>
          <w:rFonts w:ascii="Times New Roman" w:hAnsi="Times New Roman" w:cs="Times New Roman"/>
          <w:color w:val="000000"/>
          <w:sz w:val="24"/>
          <w:szCs w:val="24"/>
        </w:rPr>
        <w:t xml:space="preserve">  </w:t>
      </w:r>
      <w:r>
        <w:rPr>
          <w:rFonts w:ascii="Times New Roman" w:hAnsi="Times New Roman" w:cs="Times New Roman"/>
          <w:color w:val="000000"/>
          <w:sz w:val="24"/>
          <w:szCs w:val="24"/>
        </w:rPr>
        <w:t>programov/akcii kontinuálneho vzdelávania</w:t>
      </w:r>
    </w:p>
    <w:p w14:paraId="402A460E" w14:textId="77777777" w:rsidR="00A02B90" w:rsidRDefault="00B166A1">
      <w:pPr>
        <w:pStyle w:val="gmail-li1"/>
        <w:numPr>
          <w:ilvl w:val="0"/>
          <w:numId w:val="2"/>
        </w:numPr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Vydávanie stavovských pravidiel, Etického kódexu</w:t>
      </w:r>
    </w:p>
    <w:p w14:paraId="30CE6F50" w14:textId="77777777" w:rsidR="00A02B90" w:rsidRDefault="00B166A1">
      <w:pPr>
        <w:pStyle w:val="gmail-li1"/>
        <w:numPr>
          <w:ilvl w:val="0"/>
          <w:numId w:val="2"/>
        </w:numPr>
        <w:spacing w:before="0" w:after="0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Zastupuje slovenských</w:t>
      </w:r>
      <w:r>
        <w:rPr>
          <w:rStyle w:val="gmail-apple-converted-space"/>
          <w:rFonts w:ascii="Times New Roman" w:hAnsi="Times New Roman" w:cs="Times New Roman"/>
          <w:color w:val="000000"/>
          <w:sz w:val="24"/>
          <w:szCs w:val="24"/>
        </w:rPr>
        <w:t xml:space="preserve"> 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zubných lekárov v </w:t>
      </w:r>
      <w:r>
        <w:rPr>
          <w:rFonts w:ascii="Times New Roman" w:hAnsi="Times New Roman" w:cs="Times New Roman"/>
          <w:color w:val="000000"/>
          <w:sz w:val="24"/>
          <w:szCs w:val="24"/>
        </w:rPr>
        <w:t>medzinárodných organizáciách.</w:t>
      </w:r>
    </w:p>
    <w:p w14:paraId="7A911CF0" w14:textId="77777777" w:rsidR="00A02B90" w:rsidRDefault="00B166A1">
      <w:pPr>
        <w:pStyle w:val="gmail-li1"/>
        <w:numPr>
          <w:ilvl w:val="0"/>
          <w:numId w:val="2"/>
        </w:numPr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Vedenie disciplinárneho registra</w:t>
      </w:r>
    </w:p>
    <w:p w14:paraId="2C100AF7" w14:textId="77777777" w:rsidR="00A02B90" w:rsidRDefault="00A02B90">
      <w:pPr>
        <w:pStyle w:val="gmail-li1"/>
        <w:spacing w:before="0"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7E816F3B" w14:textId="77777777" w:rsidR="00A02B90" w:rsidRDefault="00B166A1">
      <w:pPr>
        <w:pStyle w:val="gmail-p1"/>
        <w:spacing w:before="0" w:after="0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Prenesený výkon štátnej správy na Komoru:</w:t>
      </w:r>
    </w:p>
    <w:p w14:paraId="469531E7" w14:textId="77777777" w:rsidR="00A02B90" w:rsidRDefault="00B166A1">
      <w:pPr>
        <w:pStyle w:val="gmail-p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1. Vedenie registra zubných lekárov</w:t>
      </w:r>
    </w:p>
    <w:p w14:paraId="64A85457" w14:textId="77777777" w:rsidR="00A02B90" w:rsidRDefault="00B166A1">
      <w:pPr>
        <w:pStyle w:val="gmail-p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2. Prijímanie prihlášok pre výkon povolania zubný lekár</w:t>
      </w:r>
    </w:p>
    <w:p w14:paraId="28B87D40" w14:textId="77777777" w:rsidR="00A02B90" w:rsidRDefault="00B166A1">
      <w:pPr>
        <w:pStyle w:val="gmail-p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3. Vydávanie potvrdení podľa smernice 20</w:t>
      </w:r>
      <w:r>
        <w:rPr>
          <w:rFonts w:ascii="Times New Roman" w:hAnsi="Times New Roman" w:cs="Times New Roman"/>
          <w:color w:val="000000"/>
          <w:sz w:val="24"/>
          <w:szCs w:val="24"/>
        </w:rPr>
        <w:t>05/36/EG</w:t>
      </w:r>
    </w:p>
    <w:p w14:paraId="48A9CC74" w14:textId="77777777" w:rsidR="00A02B90" w:rsidRDefault="00B166A1">
      <w:pPr>
        <w:pStyle w:val="gmail-p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4. Udeľovanie Licencii</w:t>
      </w:r>
    </w:p>
    <w:p w14:paraId="35154D91" w14:textId="77777777" w:rsidR="00A02B90" w:rsidRDefault="00A02B90">
      <w:pPr>
        <w:pStyle w:val="gmail-li1"/>
        <w:spacing w:before="0"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0D4D7BD6" w14:textId="77777777" w:rsidR="00A02B90" w:rsidRDefault="00B166A1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Aké kompetencie pre SKZL sú potrebné zvýšiť MZ SR v zákone o komorách:</w:t>
      </w:r>
    </w:p>
    <w:p w14:paraId="70947125" w14:textId="77777777" w:rsidR="00A02B90" w:rsidRDefault="00B166A1">
      <w:pPr>
        <w:pStyle w:val="gmail-li1"/>
        <w:numPr>
          <w:ilvl w:val="0"/>
          <w:numId w:val="1"/>
        </w:numPr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kontrola kvality poskytovania zubnej lekárskej starostlivosti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09C57F52" w14:textId="77777777" w:rsidR="00A02B90" w:rsidRDefault="00B166A1">
      <w:pPr>
        <w:pStyle w:val="Odsekzoznamu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kontrola zvyšovania a udržiavania odbornosti u všetkých </w:t>
      </w:r>
      <w:r>
        <w:rPr>
          <w:rFonts w:ascii="Times New Roman" w:hAnsi="Times New Roman"/>
          <w:color w:val="000000"/>
          <w:sz w:val="24"/>
          <w:szCs w:val="24"/>
        </w:rPr>
        <w:t>registrovaných zubných lekárov = kvalitné a bezpečné ošetrovanie pacienta</w:t>
      </w:r>
    </w:p>
    <w:p w14:paraId="78B22F66" w14:textId="77777777" w:rsidR="00A02B90" w:rsidRDefault="00B166A1">
      <w:pPr>
        <w:pStyle w:val="Odsekzoznamu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zvýšiť kompetenciu v dohľade nad vykonávaním odborných činností </w:t>
      </w:r>
    </w:p>
    <w:p w14:paraId="66D14840" w14:textId="77777777" w:rsidR="00A02B90" w:rsidRDefault="00B166A1">
      <w:pPr>
        <w:pStyle w:val="Odsekzoznamu"/>
        <w:numPr>
          <w:ilvl w:val="0"/>
          <w:numId w:val="1"/>
        </w:numPr>
      </w:pPr>
      <w:r>
        <w:rPr>
          <w:rFonts w:ascii="Times New Roman" w:hAnsi="Times New Roman"/>
          <w:color w:val="000000"/>
          <w:sz w:val="24"/>
          <w:szCs w:val="24"/>
        </w:rPr>
        <w:t>SKZL odborný garant zubného lekárstva nemá kompetenciu v dohľade nad výkonom povolania zubného lekára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05CDA42F" w14:textId="77777777" w:rsidR="00A02B90" w:rsidRDefault="00A02B90">
      <w:pPr>
        <w:rPr>
          <w:rFonts w:ascii="Times New Roman" w:hAnsi="Times New Roman"/>
          <w:b/>
          <w:bCs/>
          <w:sz w:val="24"/>
          <w:szCs w:val="24"/>
        </w:rPr>
      </w:pPr>
    </w:p>
    <w:p w14:paraId="3D2045E3" w14:textId="77777777" w:rsidR="00A02B90" w:rsidRDefault="00B166A1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Úloha </w:t>
      </w:r>
      <w:r>
        <w:rPr>
          <w:rFonts w:ascii="Times New Roman" w:hAnsi="Times New Roman"/>
          <w:b/>
          <w:bCs/>
          <w:sz w:val="24"/>
          <w:szCs w:val="24"/>
        </w:rPr>
        <w:t xml:space="preserve">Komory v medzinárodných štruktúrach; má význam byť členom Komory a ako je to v zahraničí: majú povinné členstvo...,  kompetencie komôr... </w:t>
      </w:r>
    </w:p>
    <w:p w14:paraId="1A25F2C1" w14:textId="77777777" w:rsidR="00A02B90" w:rsidRDefault="00B166A1">
      <w:pPr>
        <w:pStyle w:val="gmail-p1"/>
        <w:spacing w:before="0" w:after="0"/>
        <w:jc w:val="both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 Európe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 pomer povinného členstva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dobrovoľného členstva v stavovskej organizácii asi 50:50. Treba si však uved</w:t>
      </w:r>
      <w:r>
        <w:rPr>
          <w:rFonts w:ascii="Times New Roman" w:hAnsi="Times New Roman" w:cs="Times New Roman"/>
          <w:color w:val="000000"/>
          <w:sz w:val="24"/>
          <w:szCs w:val="24"/>
        </w:rPr>
        <w:t>omiť, že v zásade rozlišujeme organizácie zubných lekárov typu “komora”, ktorá býva ustanovená zákonom a máva prenesený výkon štátnej moci a vo väčšine krajín s touto štruktúrou je členstvo v nej povinné. Naproti tomu v niektorých krajinách, kde existuje 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peciálna inštitúcia, vedúca napríklad register zubných lekárov, majú zubní lekári skôr voľnejšie spoločenstvo typu “asociácia/spoločenstvo”, kde je vo väčšine prípadov členstvo nepovinné.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Podľa nášho názoru ide na Slovensku skôr o ojedinelý “hybrid”- zákon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om stanovená komora s dôležitými prenesenými funkciami, v ktorej je členstvo nepovinné, ale má kontrolovať aj nečlenov, pričom však nedostáva žiadnu finančnú podporu zo strany štátu, aby tieto funkcie vykonávala.</w:t>
      </w:r>
    </w:p>
    <w:p w14:paraId="3CDE8F0F" w14:textId="77777777" w:rsidR="00A02B90" w:rsidRDefault="00A02B90">
      <w:pPr>
        <w:pStyle w:val="gmail-p2"/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1230E16" w14:textId="77777777" w:rsidR="00A02B90" w:rsidRDefault="00B166A1">
      <w:pPr>
        <w:pStyle w:val="gmail-p1"/>
        <w:spacing w:before="0" w:after="0"/>
        <w:jc w:val="both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SKZL zastupuje slovenských zubných lekárov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 medzinárodných organizáciách,</w:t>
      </w:r>
      <w:r>
        <w:rPr>
          <w:rStyle w:val="gmail-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14:paraId="78E04173" w14:textId="77777777" w:rsidR="00A02B90" w:rsidRDefault="00B166A1">
      <w:pPr>
        <w:pStyle w:val="gmail-p1"/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to najmä v FDI (Svetová federácia zubných lekárov), ktorá združuje viac ako 1 milión zubných lekárov zo 130 krajín na celom svete. FDI má za cieľ celosvetovo zlepšenie orálneho zdravia a to aj prostredníctvom medzinárodn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ej výmeny vedeckých i praktických poznatkov zo zubného lekárstva. FDI tiež podporuje svojich členov v iniciatívach zlepšenia ústneho zdravia </w:t>
      </w:r>
    </w:p>
    <w:p w14:paraId="4E3BC25A" w14:textId="77777777" w:rsidR="00A02B90" w:rsidRDefault="00A02B90">
      <w:pPr>
        <w:pStyle w:val="gmail-p1"/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9BCDFC" w14:textId="77777777" w:rsidR="00A02B90" w:rsidRDefault="00B166A1">
      <w:pPr>
        <w:pStyle w:val="gmail-p1"/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ich krajine. Spolupracuje pri tom s WHO (SZO) a UNO (OSN). FDI požaduje uznanie orálneho zdravia za podstatnú č</w:t>
      </w:r>
      <w:r>
        <w:rPr>
          <w:rFonts w:ascii="Times New Roman" w:hAnsi="Times New Roman" w:cs="Times New Roman"/>
          <w:color w:val="000000"/>
          <w:sz w:val="24"/>
          <w:szCs w:val="24"/>
        </w:rPr>
        <w:t>asť celkového zdravia a pohody.</w:t>
      </w:r>
    </w:p>
    <w:p w14:paraId="253A2DD7" w14:textId="77777777" w:rsidR="00A02B90" w:rsidRDefault="00B166A1">
      <w:pPr>
        <w:pStyle w:val="gmail-p1"/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ERO je Európska regionálna organizácia zubných lekárov., združuje zubných lekárov z 36krajín Európy. </w:t>
      </w:r>
    </w:p>
    <w:p w14:paraId="43FD5D28" w14:textId="77777777" w:rsidR="00A02B90" w:rsidRDefault="00B166A1">
      <w:pPr>
        <w:pStyle w:val="gmail-p1"/>
        <w:spacing w:before="0" w:after="0"/>
        <w:jc w:val="both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Témy diskutované v FDI/ERO sú:</w:t>
      </w:r>
      <w:r>
        <w:rPr>
          <w:rStyle w:val="gmail-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69EBAF61" w14:textId="77777777" w:rsidR="00A02B90" w:rsidRDefault="00B166A1">
      <w:pPr>
        <w:pStyle w:val="gmail-p1"/>
        <w:spacing w:before="0"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Medzinárodná zdravotná politika,</w:t>
      </w:r>
      <w:r>
        <w:rPr>
          <w:rStyle w:val="gmail-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14:paraId="11B41301" w14:textId="77777777" w:rsidR="00A02B90" w:rsidRDefault="00B166A1">
      <w:pPr>
        <w:pStyle w:val="gmail-p1"/>
        <w:spacing w:before="0"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Používanie amalgámu v zubnom lekárstve,</w:t>
      </w:r>
      <w:r>
        <w:rPr>
          <w:rStyle w:val="gmail-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14:paraId="4449BD05" w14:textId="77777777" w:rsidR="00A02B90" w:rsidRDefault="00B166A1">
      <w:pPr>
        <w:pStyle w:val="gmail-p1"/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Boj proti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antim</w:t>
      </w:r>
      <w:r>
        <w:rPr>
          <w:rFonts w:ascii="Times New Roman" w:hAnsi="Times New Roman" w:cs="Times New Roman"/>
          <w:color w:val="000000"/>
          <w:sz w:val="24"/>
          <w:szCs w:val="24"/>
        </w:rPr>
        <w:t>ikrobiálnej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rezistencii,</w:t>
      </w:r>
    </w:p>
    <w:p w14:paraId="5BE5305F" w14:textId="77777777" w:rsidR="00A02B90" w:rsidRDefault="00B166A1">
      <w:pPr>
        <w:pStyle w:val="gmail-p1"/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Redukcia konzumácie cukru,</w:t>
      </w:r>
    </w:p>
    <w:p w14:paraId="027D9843" w14:textId="77777777" w:rsidR="00A02B90" w:rsidRDefault="00B166A1">
      <w:pPr>
        <w:pStyle w:val="gmail-p1"/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Zubná lekárska starostlivosť v znevýhodnených regiónoch a u znevýhodnených skupín pacientov,</w:t>
      </w:r>
    </w:p>
    <w:p w14:paraId="2746FD76" w14:textId="77777777" w:rsidR="00A02B90" w:rsidRDefault="00B166A1">
      <w:pPr>
        <w:pStyle w:val="gmail-p1"/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Posilnenie zdravotných systémov v celosvetovom meradle.</w:t>
      </w:r>
    </w:p>
    <w:p w14:paraId="69765768" w14:textId="77777777" w:rsidR="00A02B90" w:rsidRDefault="00A02B90">
      <w:pPr>
        <w:pStyle w:val="gmail-p2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C0422D2" w14:textId="77777777" w:rsidR="00A02B90" w:rsidRDefault="00B166A1">
      <w:pPr>
        <w:pStyle w:val="gmail-p1"/>
        <w:spacing w:before="0" w:after="0"/>
        <w:jc w:val="both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SKZL a hlavne jeho zahraničný výbor </w:t>
      </w:r>
      <w:r>
        <w:rPr>
          <w:rFonts w:ascii="Times New Roman" w:hAnsi="Times New Roman" w:cs="Times New Roman"/>
          <w:color w:val="000000"/>
          <w:sz w:val="24"/>
          <w:szCs w:val="24"/>
        </w:rPr>
        <w:t>diskutuje, preklad</w:t>
      </w:r>
      <w:r>
        <w:rPr>
          <w:rFonts w:ascii="Times New Roman" w:hAnsi="Times New Roman" w:cs="Times New Roman"/>
          <w:color w:val="000000"/>
          <w:sz w:val="24"/>
          <w:szCs w:val="24"/>
        </w:rPr>
        <w:t>á a predkladá</w:t>
      </w:r>
      <w:r>
        <w:rPr>
          <w:rStyle w:val="gmail-apple-converted-space"/>
          <w:rFonts w:ascii="Times New Roman" w:hAnsi="Times New Roman" w:cs="Times New Roman"/>
          <w:color w:val="000000"/>
          <w:sz w:val="24"/>
          <w:szCs w:val="24"/>
        </w:rPr>
        <w:t xml:space="preserve">  </w:t>
      </w:r>
      <w:r>
        <w:rPr>
          <w:rFonts w:ascii="Times New Roman" w:hAnsi="Times New Roman" w:cs="Times New Roman"/>
          <w:color w:val="000000"/>
          <w:sz w:val="24"/>
          <w:szCs w:val="24"/>
        </w:rPr>
        <w:t>dokumenty z medzinárodných organizácii, poskytuje údaje o Slovensku a dostáva údaje o zahraničí, poskytuje námety na pre nás zaujímavé témy na spracovanie.</w:t>
      </w:r>
    </w:p>
    <w:p w14:paraId="45B8BDA9" w14:textId="77777777" w:rsidR="00A02B90" w:rsidRDefault="00A02B90"/>
    <w:p w14:paraId="5B50E179" w14:textId="77777777" w:rsidR="00A02B90" w:rsidRDefault="00A02B90">
      <w:pPr>
        <w:rPr>
          <w:rFonts w:ascii="Times New Roman" w:hAnsi="Times New Roman"/>
          <w:b/>
          <w:bCs/>
          <w:sz w:val="24"/>
          <w:szCs w:val="24"/>
        </w:rPr>
      </w:pPr>
    </w:p>
    <w:p w14:paraId="48E6BA12" w14:textId="77777777" w:rsidR="00A02B90" w:rsidRDefault="00B166A1">
      <w:pPr>
        <w:spacing w:after="0"/>
      </w:pPr>
      <w:r>
        <w:rPr>
          <w:rFonts w:ascii="Times New Roman" w:hAnsi="Times New Roman"/>
          <w:b/>
          <w:bCs/>
          <w:sz w:val="24"/>
          <w:szCs w:val="24"/>
        </w:rPr>
        <w:t xml:space="preserve">6.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Patrí vzdelávanie študentov v odbore Zubné lekárstvo medzi priority štátu? </w:t>
      </w:r>
      <w:r>
        <w:rPr>
          <w:rFonts w:ascii="Times New Roman" w:eastAsia="Times New Roman" w:hAnsi="Times New Roman"/>
          <w:b/>
          <w:bCs/>
          <w:sz w:val="24"/>
          <w:szCs w:val="24"/>
        </w:rPr>
        <w:t>Dvadsať rokov bez výrazných posunov v kontexte plnenia záverov TAIEX z r. 2002</w:t>
      </w:r>
    </w:p>
    <w:p w14:paraId="567D1995" w14:textId="77777777" w:rsidR="00A02B90" w:rsidRDefault="00A02B90"/>
    <w:p w14:paraId="184B4931" w14:textId="77777777" w:rsidR="00A02B90" w:rsidRDefault="00B166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Štát hradí 3000 €/výučba/študent/rok. Zahraničný študent platí 11000 €/výučba/rok. </w:t>
      </w:r>
    </w:p>
    <w:p w14:paraId="1B438B09" w14:textId="77777777" w:rsidR="00A02B90" w:rsidRDefault="00B166A1">
      <w:pPr>
        <w:pStyle w:val="gmail-p2"/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PREGRADUALNE VZDELAVANIE V ODBORE ZUBNÉ LEKÁRSTVO</w:t>
      </w:r>
    </w:p>
    <w:p w14:paraId="09398E85" w14:textId="77777777" w:rsidR="00A02B90" w:rsidRDefault="00B166A1">
      <w:pPr>
        <w:pStyle w:val="gmail-p2"/>
        <w:spacing w:before="0"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 absolventov z iných krajín je nutné pri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uznávaní kvalifikácii poznať povahu, rozsah a očakávaný výstup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pregraduálneho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vzdelávacieho programu. Zhoda týchto parametrov vzdelávania s našimi národnými štandardami môže mať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význam pre bezpečnosť pacienta pri ošetrení.</w:t>
      </w:r>
    </w:p>
    <w:p w14:paraId="001D4B47" w14:textId="77777777" w:rsidR="00A02B90" w:rsidRDefault="00B166A1">
      <w:pPr>
        <w:pStyle w:val="gmail-p3"/>
        <w:spacing w:before="0" w:after="180"/>
        <w:jc w:val="both"/>
      </w:pPr>
      <w:r>
        <w:rPr>
          <w:rStyle w:val="gmail-s1"/>
          <w:rFonts w:ascii="Times New Roman" w:hAnsi="Times New Roman" w:cs="Times New Roman"/>
          <w:color w:val="000000"/>
          <w:position w:val="8"/>
          <w:sz w:val="24"/>
          <w:szCs w:val="24"/>
        </w:rPr>
        <w:t>Musíme ochraňovať pacientov ale z</w:t>
      </w:r>
      <w:r>
        <w:rPr>
          <w:rStyle w:val="gmail-s1"/>
          <w:rFonts w:ascii="Times New Roman" w:hAnsi="Times New Roman" w:cs="Times New Roman"/>
          <w:color w:val="000000"/>
          <w:position w:val="8"/>
          <w:sz w:val="24"/>
          <w:szCs w:val="24"/>
        </w:rPr>
        <w:t>ároveň spĺňať medzinárodné právo na pohyb profesionálov a uznávanie kvalifikácii. U absolventov ZL by malo byť zaručené, že dosiahli plný rozsah vedomostí, zručností a správania, ktoré zabezpečia, že čerstvo registrovaný zubný lekár je “ bezpečný začiatočn</w:t>
      </w:r>
      <w:r>
        <w:rPr>
          <w:rStyle w:val="gmail-s1"/>
          <w:rFonts w:ascii="Times New Roman" w:hAnsi="Times New Roman" w:cs="Times New Roman"/>
          <w:color w:val="000000"/>
          <w:position w:val="8"/>
          <w:sz w:val="24"/>
          <w:szCs w:val="24"/>
        </w:rPr>
        <w:t>ík” a to vo všetkých 4 oblastiach: profesionalita, komunikácia, klinické vedomosti a zručnosti, manažment a riadenie.</w:t>
      </w:r>
    </w:p>
    <w:p w14:paraId="7EDD96CA" w14:textId="77777777" w:rsidR="00A02B90" w:rsidRDefault="00B166A1">
      <w:pPr>
        <w:pStyle w:val="gmail-p3"/>
        <w:spacing w:before="0" w:after="180"/>
        <w:jc w:val="both"/>
      </w:pPr>
      <w:r>
        <w:rPr>
          <w:rStyle w:val="gmail-s1"/>
          <w:rFonts w:ascii="Times New Roman" w:hAnsi="Times New Roman" w:cs="Times New Roman"/>
          <w:color w:val="000000"/>
          <w:position w:val="8"/>
          <w:sz w:val="24"/>
          <w:szCs w:val="24"/>
        </w:rPr>
        <w:t xml:space="preserve">Akreditované vzdelávacie </w:t>
      </w:r>
      <w:proofErr w:type="spellStart"/>
      <w:r>
        <w:rPr>
          <w:rStyle w:val="gmail-s1"/>
          <w:rFonts w:ascii="Times New Roman" w:hAnsi="Times New Roman" w:cs="Times New Roman"/>
          <w:color w:val="000000"/>
          <w:position w:val="8"/>
          <w:sz w:val="24"/>
          <w:szCs w:val="24"/>
        </w:rPr>
        <w:t>pregraduálne</w:t>
      </w:r>
      <w:proofErr w:type="spellEnd"/>
      <w:r>
        <w:rPr>
          <w:rStyle w:val="gmail-s1"/>
          <w:rFonts w:ascii="Times New Roman" w:hAnsi="Times New Roman" w:cs="Times New Roman"/>
          <w:color w:val="000000"/>
          <w:position w:val="8"/>
          <w:sz w:val="24"/>
          <w:szCs w:val="24"/>
        </w:rPr>
        <w:t xml:space="preserve"> programy na univerzitách by mali byť kontrolované čo sa týka kvality, aby neustále spĺňali štandardy</w:t>
      </w:r>
      <w:r>
        <w:rPr>
          <w:rStyle w:val="gmail-s1"/>
          <w:rFonts w:ascii="Times New Roman" w:hAnsi="Times New Roman" w:cs="Times New Roman"/>
          <w:color w:val="000000"/>
          <w:position w:val="8"/>
          <w:sz w:val="24"/>
          <w:szCs w:val="24"/>
        </w:rPr>
        <w:t xml:space="preserve"> vzdelávania. Existuje Európsky dokument vydaný ADEE “ Profil a kompetencie európskeho zubného lekára”. Je to dobrá inšpirácia na hodnotenie výstupu vzdelávania ZL. Univerzita, fakulta, štát</w:t>
      </w:r>
      <w:r>
        <w:rPr>
          <w:rStyle w:val="gmail-apple-converted-space"/>
          <w:rFonts w:ascii="Times New Roman" w:hAnsi="Times New Roman" w:cs="Times New Roman"/>
          <w:color w:val="000000"/>
          <w:position w:val="8"/>
          <w:sz w:val="24"/>
          <w:szCs w:val="24"/>
        </w:rPr>
        <w:t xml:space="preserve">  </w:t>
      </w:r>
      <w:r>
        <w:rPr>
          <w:rStyle w:val="gmail-s1"/>
          <w:rFonts w:ascii="Times New Roman" w:hAnsi="Times New Roman" w:cs="Times New Roman"/>
          <w:color w:val="000000"/>
          <w:position w:val="8"/>
          <w:sz w:val="24"/>
          <w:szCs w:val="24"/>
        </w:rPr>
        <w:t>alebo zriaďovateľ by mali poskytnúť</w:t>
      </w:r>
      <w:r>
        <w:rPr>
          <w:rStyle w:val="gmail-apple-converted-space"/>
          <w:rFonts w:ascii="Times New Roman" w:hAnsi="Times New Roman" w:cs="Times New Roman"/>
          <w:color w:val="000000"/>
          <w:position w:val="8"/>
          <w:sz w:val="24"/>
          <w:szCs w:val="24"/>
        </w:rPr>
        <w:t xml:space="preserve">  </w:t>
      </w:r>
      <w:r>
        <w:rPr>
          <w:rStyle w:val="gmail-s1"/>
          <w:rFonts w:ascii="Times New Roman" w:hAnsi="Times New Roman" w:cs="Times New Roman"/>
          <w:color w:val="000000"/>
          <w:position w:val="8"/>
          <w:sz w:val="24"/>
          <w:szCs w:val="24"/>
        </w:rPr>
        <w:t>dostatočné finančné prostri</w:t>
      </w:r>
      <w:r>
        <w:rPr>
          <w:rStyle w:val="gmail-s1"/>
          <w:rFonts w:ascii="Times New Roman" w:hAnsi="Times New Roman" w:cs="Times New Roman"/>
          <w:color w:val="000000"/>
          <w:position w:val="8"/>
          <w:sz w:val="24"/>
          <w:szCs w:val="24"/>
        </w:rPr>
        <w:t>edky na zabezpečenie vhodných priestorov, zázemia, materiálno-technického vybavenia a personálneho obsadenia vzdelávacej ustanovizne pre teoretickú ale hlavne praktickú časť programu Zubné lekárstvo. Správnym manažmentom je možné získať dostatočný počet pa</w:t>
      </w:r>
      <w:r>
        <w:rPr>
          <w:rStyle w:val="gmail-s1"/>
          <w:rFonts w:ascii="Times New Roman" w:hAnsi="Times New Roman" w:cs="Times New Roman"/>
          <w:color w:val="000000"/>
          <w:position w:val="8"/>
          <w:sz w:val="24"/>
          <w:szCs w:val="24"/>
        </w:rPr>
        <w:t xml:space="preserve">cientov pre praktickú výuku. Cieľom </w:t>
      </w:r>
      <w:proofErr w:type="spellStart"/>
      <w:r>
        <w:rPr>
          <w:rStyle w:val="gmail-s1"/>
          <w:rFonts w:ascii="Times New Roman" w:hAnsi="Times New Roman" w:cs="Times New Roman"/>
          <w:color w:val="000000"/>
          <w:position w:val="8"/>
          <w:sz w:val="24"/>
          <w:szCs w:val="24"/>
        </w:rPr>
        <w:t>pregraduálneho</w:t>
      </w:r>
      <w:proofErr w:type="spellEnd"/>
      <w:r>
        <w:rPr>
          <w:rStyle w:val="gmail-s1"/>
          <w:rFonts w:ascii="Times New Roman" w:hAnsi="Times New Roman" w:cs="Times New Roman"/>
          <w:color w:val="000000"/>
          <w:position w:val="8"/>
          <w:sz w:val="24"/>
          <w:szCs w:val="24"/>
        </w:rPr>
        <w:t xml:space="preserve"> štúdia zubného lekárstva je vychovať absolventa, ktorý môže hneď po odovzdaní diplomu a registrácii začať poskytovať zdravotnú starostlivosť, a to bezpečne a kompetentne.</w:t>
      </w:r>
    </w:p>
    <w:p w14:paraId="15EEC5D6" w14:textId="77777777" w:rsidR="00A02B90" w:rsidRDefault="00A02B90">
      <w:pPr>
        <w:jc w:val="both"/>
        <w:rPr>
          <w:rFonts w:ascii="Times New Roman" w:hAnsi="Times New Roman"/>
          <w:sz w:val="24"/>
          <w:szCs w:val="24"/>
        </w:rPr>
      </w:pPr>
    </w:p>
    <w:p w14:paraId="04286DC0" w14:textId="77777777" w:rsidR="00A02B90" w:rsidRDefault="00B166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Vzdelávanie zubných lekárov prešl</w:t>
      </w:r>
      <w:r>
        <w:rPr>
          <w:rFonts w:ascii="Times New Roman" w:hAnsi="Times New Roman"/>
          <w:sz w:val="24"/>
          <w:szCs w:val="24"/>
        </w:rPr>
        <w:t>o v roku 2008 reformou, ktorá umožňuje absolventom štúdia ihneď po zložení štátnych skúšok založenie samotnej praxe bez potreby ďalšej atestácie. Navýšil sa počet výkonov, ktoré musia študenti prakticky vykonať na pacientovi.</w:t>
      </w:r>
    </w:p>
    <w:p w14:paraId="1E070B69" w14:textId="77777777" w:rsidR="00A02B90" w:rsidRDefault="00B166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Bohužiaľ pacient, ktorý sa u š</w:t>
      </w:r>
      <w:r>
        <w:rPr>
          <w:rFonts w:ascii="Times New Roman" w:hAnsi="Times New Roman"/>
          <w:sz w:val="24"/>
          <w:szCs w:val="24"/>
        </w:rPr>
        <w:t>tudenta dá ošetriť nie je finančne zvýhodnený, ako tomu bolo v minulosti, ale za ošetrenie si dopláca sumu, ktorá sa neraz vyrovná cene ošetrenia v súkromnej zubnej ambulancii. Často sa stáva, že samotný študent hradí cenu výkonu za pacienta, aby si zaruči</w:t>
      </w:r>
      <w:r>
        <w:rPr>
          <w:rFonts w:ascii="Times New Roman" w:hAnsi="Times New Roman"/>
          <w:sz w:val="24"/>
          <w:szCs w:val="24"/>
        </w:rPr>
        <w:t>l dostatočný počet ošetrení potrebných k absolvovaniu  zápočtu.</w:t>
      </w:r>
    </w:p>
    <w:p w14:paraId="0F4D7884" w14:textId="77777777" w:rsidR="00A02B90" w:rsidRDefault="00B166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Ďalšou skutočnosťou vplývajúcou na kvalitu výuky je dlhodobý problém s nedostatkom pedagogického personálu pri výučbe praktických predmetov. </w:t>
      </w:r>
      <w:proofErr w:type="spellStart"/>
      <w:r>
        <w:rPr>
          <w:rFonts w:ascii="Times New Roman" w:hAnsi="Times New Roman"/>
          <w:sz w:val="24"/>
          <w:szCs w:val="24"/>
        </w:rPr>
        <w:t>Pandemická</w:t>
      </w:r>
      <w:proofErr w:type="spellEnd"/>
      <w:r>
        <w:rPr>
          <w:rFonts w:ascii="Times New Roman" w:hAnsi="Times New Roman"/>
          <w:sz w:val="24"/>
          <w:szCs w:val="24"/>
        </w:rPr>
        <w:t xml:space="preserve"> situácia v posledných rokoch urýchlila o</w:t>
      </w:r>
      <w:r>
        <w:rPr>
          <w:rFonts w:ascii="Times New Roman" w:hAnsi="Times New Roman"/>
          <w:sz w:val="24"/>
          <w:szCs w:val="24"/>
        </w:rPr>
        <w:t>dchod lekárov v dôchodkovom veku a mladých vyučujúcich pribúda len veľmi malý počet. Na asistenta v jednej ambulancii neraz pripadá v priemere 6-8 študentov, v minulosti boli maximálne traja.</w:t>
      </w:r>
    </w:p>
    <w:p w14:paraId="2A150A5D" w14:textId="77777777" w:rsidR="00A02B90" w:rsidRDefault="00B166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Slovensku máme 4 fakulty zubného lekárstva, no systém výuky s</w:t>
      </w:r>
      <w:r>
        <w:rPr>
          <w:rFonts w:ascii="Times New Roman" w:hAnsi="Times New Roman"/>
          <w:sz w:val="24"/>
          <w:szCs w:val="24"/>
        </w:rPr>
        <w:t>i určuje každá zvlášť, preto nie je výnimočné, ak má absolvent zubného lekárstva z Košíc iné poznatky ako absolvent z Bratislavy. Navrhujeme zjednotenie osnov pre štúdium zubného lekárstva a jednotné podmienky na úspešné ukončenie štúdia.</w:t>
      </w:r>
    </w:p>
    <w:p w14:paraId="043B6449" w14:textId="77777777" w:rsidR="00A02B90" w:rsidRDefault="00B166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Pripravenosť abso</w:t>
      </w:r>
      <w:r>
        <w:rPr>
          <w:rFonts w:ascii="Times New Roman" w:hAnsi="Times New Roman"/>
          <w:sz w:val="24"/>
          <w:szCs w:val="24"/>
        </w:rPr>
        <w:t>lventov pre prax sa z roka na rok znižuje, preto je nevyhnutné prehodnotiť potrebu absolvovania absolventskej praxe  po ukončení štandardného štúdia na vysokej škole.</w:t>
      </w:r>
    </w:p>
    <w:p w14:paraId="7582F778" w14:textId="77777777" w:rsidR="00A02B90" w:rsidRDefault="00B166A1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Nepodarilo sa:</w:t>
      </w:r>
    </w:p>
    <w:p w14:paraId="3C5CA437" w14:textId="77777777" w:rsidR="00A02B90" w:rsidRDefault="00B166A1">
      <w:pPr>
        <w:pStyle w:val="Odsekzoznamu"/>
        <w:ind w:left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Zefektívniť a zmodernizovať štúdium zubných lekárov na </w:t>
      </w:r>
      <w:r>
        <w:rPr>
          <w:rFonts w:ascii="Times New Roman" w:hAnsi="Times New Roman"/>
          <w:b/>
          <w:color w:val="000000"/>
          <w:sz w:val="24"/>
          <w:szCs w:val="24"/>
        </w:rPr>
        <w:t>lekárskych fakultách:</w:t>
      </w:r>
    </w:p>
    <w:p w14:paraId="4914A1EE" w14:textId="77777777" w:rsidR="00A02B90" w:rsidRDefault="00B166A1">
      <w:pPr>
        <w:pStyle w:val="Odsekzoznamu"/>
        <w:ind w:left="0"/>
        <w:jc w:val="both"/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- Nedostatočné materiálno-technické vybavenie </w:t>
      </w:r>
      <w:r>
        <w:rPr>
          <w:rFonts w:ascii="Times New Roman" w:hAnsi="Times New Roman"/>
          <w:color w:val="000000"/>
          <w:sz w:val="24"/>
          <w:szCs w:val="24"/>
        </w:rPr>
        <w:t>:  na súčasný počet študentov nie je dostatočný počet zubných súprav a kresiel - prepočet pre klinické cvičenia na jednu  zubnú súpravu s kreslom sú 2 až 3 študenti zubného lekárstva. Na v</w:t>
      </w:r>
      <w:r>
        <w:rPr>
          <w:rFonts w:ascii="Times New Roman" w:hAnsi="Times New Roman"/>
          <w:color w:val="000000"/>
          <w:sz w:val="24"/>
          <w:szCs w:val="24"/>
        </w:rPr>
        <w:t xml:space="preserve">šetkých klinikách je na jedno kreslo 6-8 a viac študentov. </w:t>
      </w:r>
    </w:p>
    <w:p w14:paraId="3794FA08" w14:textId="77777777" w:rsidR="00A02B90" w:rsidRDefault="00B166A1">
      <w:pPr>
        <w:pStyle w:val="Odsekzoznamu"/>
        <w:ind w:left="0"/>
        <w:jc w:val="both"/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- Prístrojové vybavenie je zastaralé. </w:t>
      </w:r>
      <w:r>
        <w:rPr>
          <w:rFonts w:ascii="Times New Roman" w:hAnsi="Times New Roman"/>
          <w:color w:val="000000"/>
          <w:sz w:val="24"/>
          <w:szCs w:val="24"/>
        </w:rPr>
        <w:t xml:space="preserve"> K tejto situácii prispieva aj skutočnosť,  že zo strany Ministerstva školstva SR nie je ani v súčasnosti podpora výučby zubného lekárstva. Prvé pozitívne zle</w:t>
      </w:r>
      <w:r>
        <w:rPr>
          <w:rFonts w:ascii="Times New Roman" w:hAnsi="Times New Roman"/>
          <w:color w:val="000000"/>
          <w:sz w:val="24"/>
          <w:szCs w:val="24"/>
        </w:rPr>
        <w:t>pšenie vidíme na niektorých univerzitných klinikách, avšak stále nedostatočné.</w:t>
      </w:r>
    </w:p>
    <w:p w14:paraId="6948E530" w14:textId="77777777" w:rsidR="00A02B90" w:rsidRDefault="00B166A1">
      <w:pPr>
        <w:pStyle w:val="Odsekzoznamu"/>
        <w:ind w:left="0"/>
        <w:jc w:val="both"/>
      </w:pP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color w:val="000000"/>
          <w:sz w:val="24"/>
          <w:szCs w:val="24"/>
        </w:rPr>
        <w:t>- Nedostatočné personálne zabezpečenie</w:t>
      </w:r>
      <w:r>
        <w:rPr>
          <w:rFonts w:ascii="Times New Roman" w:hAnsi="Times New Roman"/>
          <w:color w:val="000000"/>
          <w:sz w:val="24"/>
          <w:szCs w:val="24"/>
        </w:rPr>
        <w:t xml:space="preserve"> - nedostatok učiteľov zubného lekárstva, čo spôsobuje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vysoké pedagogické úväzky. </w:t>
      </w:r>
      <w:r>
        <w:rPr>
          <w:rFonts w:ascii="Times New Roman" w:hAnsi="Times New Roman"/>
          <w:color w:val="000000"/>
          <w:sz w:val="24"/>
          <w:szCs w:val="24"/>
        </w:rPr>
        <w:t>V krajinách EU je odporúčanie: jeden pedagóg pracuje s</w:t>
      </w:r>
      <w:r>
        <w:rPr>
          <w:rFonts w:ascii="Times New Roman" w:hAnsi="Times New Roman"/>
          <w:color w:val="000000"/>
          <w:sz w:val="24"/>
          <w:szCs w:val="24"/>
        </w:rPr>
        <w:t> 2 - 3 študentmi, kým u nás je 5-6, nezriedka aj 10  študentov na jedného pedagóga</w:t>
      </w:r>
    </w:p>
    <w:p w14:paraId="2C8D4BF0" w14:textId="77777777" w:rsidR="00A02B90" w:rsidRDefault="00A02B9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3A70670" w14:textId="77777777" w:rsidR="00A02B90" w:rsidRDefault="00B166A1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Nevyhnutné opatrenia: </w:t>
      </w:r>
    </w:p>
    <w:p w14:paraId="79AEBEC4" w14:textId="77777777" w:rsidR="00A02B90" w:rsidRDefault="00B166A1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zvýšiť finančnú dotáciu výučby študijného programu Zubné lekárstvo podľa prepočtov finančnej náročnosti</w:t>
      </w:r>
    </w:p>
    <w:p w14:paraId="3FD95B5E" w14:textId="77777777" w:rsidR="00A02B90" w:rsidRDefault="00B166A1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vytvoriť finančný balík na kapitálové výdavky</w:t>
      </w:r>
      <w:r>
        <w:rPr>
          <w:rFonts w:ascii="Times New Roman" w:hAnsi="Times New Roman"/>
          <w:sz w:val="24"/>
          <w:szCs w:val="24"/>
        </w:rPr>
        <w:t xml:space="preserve"> pre zabezpečenie investícií pre vybavenie najmodernejšími prístrojmi</w:t>
      </w:r>
    </w:p>
    <w:p w14:paraId="1092E9DC" w14:textId="77777777" w:rsidR="00A02B90" w:rsidRDefault="00B166A1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zvýšiť finančné ohodnotenie učiteľov na lekárskych fakultách</w:t>
      </w:r>
    </w:p>
    <w:p w14:paraId="6F22660D" w14:textId="77777777" w:rsidR="00A02B90" w:rsidRDefault="00B166A1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zvýšiť koeficient náročnosti štúdia pre zubné lekárstvo</w:t>
      </w:r>
    </w:p>
    <w:p w14:paraId="15B1E55B" w14:textId="77777777" w:rsidR="00A02B90" w:rsidRDefault="00B166A1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zabezpečiť, aby finančné prostriedky z Ministerstva školstva SR </w:t>
      </w:r>
      <w:r>
        <w:rPr>
          <w:rFonts w:ascii="Times New Roman" w:hAnsi="Times New Roman"/>
          <w:sz w:val="24"/>
          <w:szCs w:val="24"/>
        </w:rPr>
        <w:t>pre podporu klinickej výučby v univerzitných nemocniciach boli skutočne použité na skvalitnenie výučbového procesu zubného lekárstva pre stomatologické kliniky a nie na prevádzku nemocníc</w:t>
      </w:r>
    </w:p>
    <w:p w14:paraId="64B8856F" w14:textId="77777777" w:rsidR="00A02B90" w:rsidRDefault="00B166A1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úrovni zdravotných poisťovní vytvoriť systém tzv. klinických stom</w:t>
      </w:r>
      <w:r>
        <w:rPr>
          <w:rFonts w:ascii="Times New Roman" w:hAnsi="Times New Roman"/>
          <w:sz w:val="24"/>
          <w:szCs w:val="24"/>
        </w:rPr>
        <w:t xml:space="preserve">atologických pacientov, ktorí by boli ošetrovaní na klinike a mali cenovú úľavu za predpísané </w:t>
      </w:r>
      <w:r>
        <w:rPr>
          <w:rFonts w:ascii="Times New Roman" w:hAnsi="Times New Roman"/>
          <w:sz w:val="24"/>
          <w:szCs w:val="24"/>
        </w:rPr>
        <w:lastRenderedPageBreak/>
        <w:t>výkony realizované študentmi zubného lekárstva. V súčasnosti tieto výkony ZP neuznávajú a neplatia ich</w:t>
      </w:r>
    </w:p>
    <w:p w14:paraId="15E3E811" w14:textId="77777777" w:rsidR="00A02B90" w:rsidRDefault="00B166A1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zabezpečiť reálnu prípravu študenta pre prax – umožniť štud</w:t>
      </w:r>
      <w:r>
        <w:rPr>
          <w:rFonts w:ascii="Times New Roman" w:hAnsi="Times New Roman"/>
          <w:sz w:val="24"/>
          <w:szCs w:val="24"/>
        </w:rPr>
        <w:t xml:space="preserve">entom vykonávať prax v zubných ambulanciách aj počas semestra v rámci povinných 1500 hodín povinnej klinickej praxe    </w:t>
      </w:r>
    </w:p>
    <w:p w14:paraId="634A8780" w14:textId="77777777" w:rsidR="00A02B90" w:rsidRDefault="00A02B90">
      <w:pPr>
        <w:ind w:left="708"/>
        <w:jc w:val="both"/>
        <w:rPr>
          <w:rFonts w:ascii="Times New Roman" w:hAnsi="Times New Roman"/>
          <w:sz w:val="24"/>
          <w:szCs w:val="24"/>
        </w:rPr>
      </w:pPr>
    </w:p>
    <w:p w14:paraId="3D3D2399" w14:textId="77777777" w:rsidR="00A02B90" w:rsidRDefault="00B166A1">
      <w:pPr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7. </w:t>
      </w:r>
      <w:r>
        <w:rPr>
          <w:rFonts w:ascii="Times New Roman" w:eastAsia="Times New Roman" w:hAnsi="Times New Roman"/>
          <w:b/>
          <w:bCs/>
          <w:sz w:val="24"/>
          <w:szCs w:val="24"/>
        </w:rPr>
        <w:t>Edukačné a preventívne projekty z dielne SKZL pre deti predškolských a školských zariadení. Úspech pilotného projektu „Nebojme sa zu</w:t>
      </w:r>
      <w:r>
        <w:rPr>
          <w:rFonts w:ascii="Times New Roman" w:eastAsia="Times New Roman" w:hAnsi="Times New Roman"/>
          <w:b/>
          <w:bCs/>
          <w:sz w:val="24"/>
          <w:szCs w:val="24"/>
        </w:rPr>
        <w:t>bného lekára“- cieľom SKZL je zaradiť online hodinu do vyučovacieho procesu</w:t>
      </w:r>
    </w:p>
    <w:p w14:paraId="6D8B8636" w14:textId="77777777" w:rsidR="00A02B90" w:rsidRDefault="00B166A1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Jeseň 2021 - SKZL spustila projekt online vyučovacia hodina o ústnom zdraví v ZŠ 1. a 2. stupňa „NEBOJME SA ZUBNÉHO LEKÁRA“</w:t>
      </w:r>
    </w:p>
    <w:p w14:paraId="1CA8B975" w14:textId="77777777" w:rsidR="00A02B90" w:rsidRDefault="00B166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Stav chrupu populácie na Slovensku je dlhodobo nepriazni</w:t>
      </w:r>
      <w:r>
        <w:rPr>
          <w:rFonts w:ascii="Times New Roman" w:hAnsi="Times New Roman"/>
          <w:sz w:val="24"/>
          <w:szCs w:val="24"/>
        </w:rPr>
        <w:t>vý. Podľa údajov z NCZI:</w:t>
      </w:r>
    </w:p>
    <w:p w14:paraId="0FDF9074" w14:textId="77777777" w:rsidR="00A02B90" w:rsidRDefault="00B166A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Preventívnu prehliadku u zubného lekára absolvovalo v minulom roku </w:t>
      </w:r>
      <w:r>
        <w:rPr>
          <w:rStyle w:val="Vrazn"/>
          <w:rFonts w:ascii="Times New Roman" w:hAnsi="Times New Roman"/>
          <w:color w:val="000000"/>
          <w:sz w:val="24"/>
          <w:szCs w:val="24"/>
        </w:rPr>
        <w:t>41 % evidovaných osôb</w:t>
      </w:r>
      <w:r>
        <w:rPr>
          <w:rFonts w:ascii="Times New Roman" w:hAnsi="Times New Roman"/>
          <w:color w:val="000000"/>
          <w:sz w:val="24"/>
          <w:szCs w:val="24"/>
        </w:rPr>
        <w:t> (v počte 2 111 739). Ide o najnižší počet vykonaných preventívnych prehliadok od roku 2015. Z tohto počtu  bolo potrebné ošetriť chrup u </w:t>
      </w:r>
      <w:r>
        <w:rPr>
          <w:rStyle w:val="Vrazn"/>
          <w:rFonts w:ascii="Times New Roman" w:hAnsi="Times New Roman"/>
          <w:color w:val="000000"/>
          <w:sz w:val="24"/>
          <w:szCs w:val="24"/>
        </w:rPr>
        <w:t>66,49 %</w:t>
      </w:r>
      <w:r>
        <w:rPr>
          <w:rFonts w:ascii="Times New Roman" w:hAnsi="Times New Roman"/>
          <w:color w:val="000000"/>
          <w:sz w:val="24"/>
          <w:szCs w:val="24"/>
        </w:rPr>
        <w:t> pacientov.</w:t>
      </w:r>
    </w:p>
    <w:p w14:paraId="0EB5688B" w14:textId="77777777" w:rsidR="00A02B90" w:rsidRDefault="00B166A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Zo všetkých </w:t>
      </w:r>
      <w:r>
        <w:rPr>
          <w:rStyle w:val="Vrazn"/>
          <w:rFonts w:ascii="Times New Roman" w:hAnsi="Times New Roman"/>
          <w:color w:val="000000"/>
          <w:sz w:val="24"/>
          <w:szCs w:val="24"/>
        </w:rPr>
        <w:t>päťročných detí</w:t>
      </w:r>
      <w:r>
        <w:rPr>
          <w:rFonts w:ascii="Times New Roman" w:hAnsi="Times New Roman"/>
          <w:color w:val="000000"/>
          <w:sz w:val="24"/>
          <w:szCs w:val="24"/>
        </w:rPr>
        <w:t>, ktoré boli v roku 2020 v systematickej starostlivosti zubnej ambulancie, bolo bez zubného kazu </w:t>
      </w:r>
      <w:r>
        <w:rPr>
          <w:rStyle w:val="Vrazn"/>
          <w:rFonts w:ascii="Times New Roman" w:hAnsi="Times New Roman"/>
          <w:color w:val="000000"/>
          <w:sz w:val="24"/>
          <w:szCs w:val="24"/>
        </w:rPr>
        <w:t>46,42 %</w:t>
      </w:r>
      <w:r>
        <w:rPr>
          <w:rFonts w:ascii="Times New Roman" w:hAnsi="Times New Roman"/>
          <w:color w:val="000000"/>
          <w:sz w:val="24"/>
          <w:szCs w:val="24"/>
        </w:rPr>
        <w:t>. Dlhodobým cieľom je, aby deti narodené po roku 2026 boli celý život bez kazu.</w:t>
      </w:r>
    </w:p>
    <w:p w14:paraId="60784B06" w14:textId="77777777" w:rsidR="00A02B90" w:rsidRDefault="00B166A1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Uvedené údaje nás utvrdzuj</w:t>
      </w:r>
      <w:r>
        <w:rPr>
          <w:rFonts w:ascii="Times New Roman" w:hAnsi="Times New Roman"/>
          <w:color w:val="000000"/>
          <w:sz w:val="24"/>
          <w:szCs w:val="24"/>
        </w:rPr>
        <w:t>ú v potrebe intenzívnej edukácie v oblasti prevencie ústneho zdravia tak u dospelých, ako aj u detí. Veríme, že osvojenie správnych návykov a systematické vzdelávanie v školskom veku povedie k zlepšeniu starostlivosti o ústnu dutinu a následne aj k zníženi</w:t>
      </w:r>
      <w:r>
        <w:rPr>
          <w:rFonts w:ascii="Times New Roman" w:hAnsi="Times New Roman"/>
          <w:color w:val="000000"/>
          <w:sz w:val="24"/>
          <w:szCs w:val="24"/>
        </w:rPr>
        <w:t xml:space="preserve">u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kazivosti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chrupu.</w:t>
      </w:r>
    </w:p>
    <w:p w14:paraId="01E31DAB" w14:textId="77777777" w:rsidR="00A02B90" w:rsidRDefault="00B166A1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Nakoľko neexistuje jednotný koncept preventívnych programov národného charakteru, ktorý by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edukoval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všetky deti bez rozdielu,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Slovenská komora zubných lekárov spustila na jeseň minulého roka pilotný projekt online vyučovacej hodiny o ús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tnom zdraví.</w:t>
      </w:r>
      <w:r>
        <w:rPr>
          <w:rFonts w:ascii="Times New Roman" w:hAnsi="Times New Roman"/>
          <w:color w:val="000000"/>
          <w:sz w:val="24"/>
          <w:szCs w:val="24"/>
        </w:rPr>
        <w:t xml:space="preserve"> Zamerali sme sa na okrajové regióny Slovenska, v ktorých sa prezenčné preventívne projekty nezvyknú konať a po vyhodnotení projektu môžeme konštatovať veľký úspech a pozitívne ohlasy tak zo strany žiakov, ako aj vyučujúcich. Do pilotnej osveto</w:t>
      </w:r>
      <w:r>
        <w:rPr>
          <w:rFonts w:ascii="Times New Roman" w:hAnsi="Times New Roman"/>
          <w:color w:val="000000"/>
          <w:sz w:val="24"/>
          <w:szCs w:val="24"/>
        </w:rPr>
        <w:t>vej akcie sa registrovalo vyše 5000 žiakov  z 58 základných škôl.</w:t>
      </w:r>
    </w:p>
    <w:p w14:paraId="00F5DF99" w14:textId="77777777" w:rsidR="00A02B90" w:rsidRDefault="00B166A1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V zavedení Online vyučovacej hodiny v pravidelných intervaloch a s rôznou náročnosťou prispôsobenou veku by bola zaručená kvalita výuky a odporúčania ohľadom ústneho zdravia pod dohľadom odb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orníkov.</w:t>
      </w:r>
    </w:p>
    <w:p w14:paraId="738FA615" w14:textId="77777777" w:rsidR="00A02B90" w:rsidRDefault="00A02B90">
      <w:pPr>
        <w:rPr>
          <w:rFonts w:ascii="Times New Roman" w:hAnsi="Times New Roman"/>
          <w:sz w:val="24"/>
          <w:szCs w:val="24"/>
        </w:rPr>
      </w:pPr>
    </w:p>
    <w:sectPr w:rsidR="00A02B90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73454" w14:textId="77777777" w:rsidR="00000000" w:rsidRDefault="00B166A1">
      <w:pPr>
        <w:spacing w:after="0"/>
      </w:pPr>
      <w:r>
        <w:separator/>
      </w:r>
    </w:p>
  </w:endnote>
  <w:endnote w:type="continuationSeparator" w:id="0">
    <w:p w14:paraId="7966BDA4" w14:textId="77777777" w:rsidR="00000000" w:rsidRDefault="00B166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358A0" w14:textId="77777777" w:rsidR="00000000" w:rsidRDefault="00B166A1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B67BCDD" w14:textId="77777777" w:rsidR="00000000" w:rsidRDefault="00B166A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E11BF" w14:textId="77777777" w:rsidR="005D6F55" w:rsidRDefault="00B166A1">
    <w:pPr>
      <w:pStyle w:val="Hlavika"/>
      <w:jc w:val="center"/>
    </w:pPr>
    <w:r>
      <w:rPr>
        <w:noProof/>
      </w:rPr>
      <w:drawing>
        <wp:inline distT="0" distB="0" distL="0" distR="0" wp14:anchorId="32916982" wp14:editId="0F896A1C">
          <wp:extent cx="800100" cy="876296"/>
          <wp:effectExtent l="0" t="0" r="0" b="4"/>
          <wp:docPr id="1" name="Obrázok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8762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E7700"/>
    <w:multiLevelType w:val="multilevel"/>
    <w:tmpl w:val="1D84CAF6"/>
    <w:lvl w:ilvl="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" w15:restartNumberingAfterBreak="0">
    <w:nsid w:val="16992EBB"/>
    <w:multiLevelType w:val="multilevel"/>
    <w:tmpl w:val="D13EC2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02B90"/>
    <w:rsid w:val="00A02B90"/>
    <w:rsid w:val="00B1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CD683"/>
  <w15:docId w15:val="{3903C746-235F-49F7-B7EB-DDE1428B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pPr>
      <w:ind w:left="720"/>
    </w:pPr>
  </w:style>
  <w:style w:type="character" w:styleId="Vrazn">
    <w:name w:val="Strong"/>
    <w:basedOn w:val="Predvolenpsmoodseku"/>
    <w:rPr>
      <w:b/>
      <w:bCs/>
    </w:rPr>
  </w:style>
  <w:style w:type="paragraph" w:styleId="Revzia">
    <w:name w:val="Revision"/>
    <w:pPr>
      <w:spacing w:after="0"/>
      <w:textAlignment w:val="auto"/>
    </w:pPr>
  </w:style>
  <w:style w:type="paragraph" w:customStyle="1" w:styleId="gmail-p1">
    <w:name w:val="gmail-p1"/>
    <w:basedOn w:val="Normlny"/>
    <w:pPr>
      <w:suppressAutoHyphens w:val="0"/>
      <w:spacing w:before="100" w:after="100"/>
      <w:textAlignment w:val="auto"/>
    </w:pPr>
    <w:rPr>
      <w:rFonts w:cs="Calibri"/>
      <w:lang w:eastAsia="sk-SK"/>
    </w:rPr>
  </w:style>
  <w:style w:type="character" w:customStyle="1" w:styleId="gmail-apple-converted-space">
    <w:name w:val="gmail-apple-converted-space"/>
    <w:basedOn w:val="Predvolenpsmoodseku"/>
  </w:style>
  <w:style w:type="paragraph" w:customStyle="1" w:styleId="gmail-li1">
    <w:name w:val="gmail-li1"/>
    <w:basedOn w:val="Normlny"/>
    <w:pPr>
      <w:suppressAutoHyphens w:val="0"/>
      <w:spacing w:before="100" w:after="100"/>
      <w:textAlignment w:val="auto"/>
    </w:pPr>
    <w:rPr>
      <w:rFonts w:cs="Calibri"/>
      <w:lang w:eastAsia="sk-SK"/>
    </w:rPr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</w:style>
  <w:style w:type="paragraph" w:styleId="Pta">
    <w:name w:val="footer"/>
    <w:basedOn w:val="Normlny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</w:style>
  <w:style w:type="paragraph" w:customStyle="1" w:styleId="gmail-p2">
    <w:name w:val="gmail-p2"/>
    <w:basedOn w:val="Normlny"/>
    <w:pPr>
      <w:suppressAutoHyphens w:val="0"/>
      <w:spacing w:before="100" w:after="100"/>
      <w:textAlignment w:val="auto"/>
    </w:pPr>
    <w:rPr>
      <w:rFonts w:cs="Calibri"/>
      <w:lang w:eastAsia="sk-SK"/>
    </w:rPr>
  </w:style>
  <w:style w:type="paragraph" w:customStyle="1" w:styleId="gmail-p3">
    <w:name w:val="gmail-p3"/>
    <w:basedOn w:val="Normlny"/>
    <w:pPr>
      <w:suppressAutoHyphens w:val="0"/>
      <w:spacing w:before="100" w:after="100"/>
      <w:textAlignment w:val="auto"/>
    </w:pPr>
    <w:rPr>
      <w:rFonts w:cs="Calibri"/>
      <w:lang w:eastAsia="sk-SK"/>
    </w:rPr>
  </w:style>
  <w:style w:type="character" w:customStyle="1" w:styleId="gmail-s1">
    <w:name w:val="gmail-s1"/>
    <w:basedOn w:val="Predvolenpsmoodsek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2195</Words>
  <Characters>12515</Characters>
  <Application>Microsoft Office Word</Application>
  <DocSecurity>0</DocSecurity>
  <Lines>104</Lines>
  <Paragraphs>29</Paragraphs>
  <ScaleCrop>false</ScaleCrop>
  <Company/>
  <LinksUpToDate>false</LinksUpToDate>
  <CharactersWithSpaces>14681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Lujza Hanová</dc:creator>
  <dc:description/>
  <cp:lastModifiedBy>Juraj Garaj</cp:lastModifiedBy>
  <cp:revision>2</cp:revision>
  <cp:lastPrinted>2022-01-27T06:12:00Z</cp:lastPrinted>
  <dcterms:created xsi:type="dcterms:W3CDTF">2022-01-28T10:48:00Z</dcterms:created>
  <dcterms:modified xsi:type="dcterms:W3CDTF">2022-01-28T10:48:00Z</dcterms:modified>
</cp:coreProperties>
</file>